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UMOWA WDROŻENIOWA</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(NR </w:t>
      </w:r>
      <w:r>
        <w:rPr>
          <w:rFonts w:cs="Calibri" w:ascii="Calibri" w:hAnsi="Calibri" w:asciiTheme="minorHAnsi" w:cstheme="minorHAnsi" w:hAnsiTheme="minorHAnsi"/>
          <w:b/>
          <w:color w:val="000000"/>
          <w:sz w:val="18"/>
          <w:szCs w:val="18"/>
          <w:highlight w:val="yellow"/>
        </w:rPr>
        <w:t>____________________________</w:t>
      </w:r>
      <w:r>
        <w:rPr>
          <w:rFonts w:cs="Calibri" w:ascii="Calibri" w:hAnsi="Calibri" w:asciiTheme="minorHAnsi" w:cstheme="minorHAnsi" w:hAnsiTheme="minorHAnsi"/>
          <w:b/>
          <w:color w:val="000000"/>
          <w:sz w:val="18"/>
          <w:szCs w:val="18"/>
        </w:rPr>
        <w:t>)</w:t>
      </w:r>
    </w:p>
    <w:p>
      <w:pPr>
        <w:pStyle w:val="Normal"/>
        <w:numPr>
          <w:ilvl w:val="0"/>
          <w:numId w:val="0"/>
        </w:numPr>
        <w:spacing w:before="120" w:after="120"/>
        <w:ind w:left="0" w:hanging="0"/>
        <w:outlineLvl w:val="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zawarta w dniu </w:t>
      </w:r>
      <w:bookmarkStart w:id="0" w:name="_Hlk119418503"/>
      <w:r>
        <w:rPr>
          <w:rFonts w:cs="Calibri" w:ascii="Calibri" w:hAnsi="Calibri" w:asciiTheme="minorHAnsi" w:cstheme="minorHAnsi" w:hAnsiTheme="minorHAnsi"/>
          <w:color w:val="000000"/>
          <w:sz w:val="18"/>
          <w:szCs w:val="18"/>
          <w:highlight w:val="yellow"/>
        </w:rPr>
        <w:t>_______________________</w:t>
      </w:r>
      <w:r>
        <w:rPr>
          <w:rFonts w:cs="Calibri" w:ascii="Calibri" w:hAnsi="Calibri" w:asciiTheme="minorHAnsi" w:cstheme="minorHAnsi" w:hAnsiTheme="minorHAnsi"/>
          <w:color w:val="000000"/>
          <w:sz w:val="18"/>
          <w:szCs w:val="18"/>
        </w:rPr>
        <w:t xml:space="preserve"> </w:t>
      </w:r>
      <w:bookmarkEnd w:id="0"/>
      <w:r>
        <w:rPr>
          <w:rFonts w:cs="Calibri" w:ascii="Calibri" w:hAnsi="Calibri" w:asciiTheme="minorHAnsi" w:cstheme="minorHAnsi" w:hAnsiTheme="minorHAnsi"/>
          <w:color w:val="000000"/>
          <w:sz w:val="18"/>
          <w:szCs w:val="18"/>
        </w:rPr>
        <w:t xml:space="preserve">r. w </w:t>
      </w:r>
      <w:r>
        <w:rPr>
          <w:rFonts w:cs="Calibri" w:ascii="Calibri" w:hAnsi="Calibri" w:asciiTheme="minorHAnsi" w:cstheme="minorHAnsi" w:hAnsiTheme="minorHAnsi"/>
          <w:color w:val="000000"/>
          <w:sz w:val="18"/>
          <w:szCs w:val="18"/>
          <w:highlight w:val="yellow"/>
        </w:rPr>
        <w:t>_______________________</w:t>
      </w:r>
      <w:r>
        <w:rPr>
          <w:rFonts w:cs="Calibri" w:ascii="Calibri" w:hAnsi="Calibri" w:asciiTheme="minorHAnsi" w:cstheme="minorHAnsi" w:hAnsiTheme="minorHAnsi"/>
          <w:color w:val="000000"/>
          <w:sz w:val="18"/>
          <w:szCs w:val="18"/>
        </w:rPr>
        <w:t xml:space="preserve"> pomiędzy:</w:t>
      </w:r>
    </w:p>
    <w:p>
      <w:pPr>
        <w:pStyle w:val="Normal"/>
        <w:spacing w:before="120" w:after="120"/>
        <w:rPr>
          <w:rFonts w:ascii="Calibri" w:hAnsi="Calibri" w:cs="Calibri" w:asciiTheme="minorHAnsi" w:cstheme="minorHAnsi" w:hAnsiTheme="minorHAnsi"/>
          <w:color w:val="000000"/>
          <w:sz w:val="18"/>
          <w:szCs w:val="18"/>
          <w:highlight w:val="yellow"/>
        </w:rPr>
      </w:pPr>
      <w:r>
        <w:rPr>
          <w:rFonts w:cs="Calibri" w:ascii="Calibri" w:hAnsi="Calibri" w:asciiTheme="minorHAnsi" w:cstheme="minorHAnsi" w:hAnsiTheme="minorHAnsi"/>
          <w:color w:val="000000"/>
          <w:sz w:val="18"/>
          <w:szCs w:val="18"/>
          <w:highlight w:val="yellow"/>
        </w:rPr>
        <w:t>___________________________________</w:t>
      </w:r>
    </w:p>
    <w:p>
      <w:pPr>
        <w:pStyle w:val="Normal"/>
        <w:spacing w:before="120" w:after="120"/>
        <w:rPr>
          <w:rFonts w:ascii="Calibri" w:hAnsi="Calibri" w:cs="Calibri" w:asciiTheme="minorHAnsi" w:cstheme="minorHAnsi" w:hAnsiTheme="minorHAnsi"/>
          <w:color w:val="000000"/>
          <w:sz w:val="18"/>
          <w:szCs w:val="18"/>
          <w:highlight w:val="yellow"/>
        </w:rPr>
      </w:pPr>
      <w:r>
        <w:rPr>
          <w:rFonts w:cs="Calibri" w:ascii="Calibri" w:hAnsi="Calibri" w:asciiTheme="minorHAnsi" w:cstheme="minorHAnsi" w:hAnsiTheme="minorHAnsi"/>
          <w:color w:val="000000"/>
          <w:sz w:val="18"/>
          <w:szCs w:val="18"/>
          <w:highlight w:val="yellow"/>
        </w:rPr>
        <w:t>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highlight w:val="yellow"/>
        </w:rPr>
        <w:t>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highlight w:val="yellow"/>
        </w:rPr>
        <w:t>___________________________________________________________________________________________________</w:t>
      </w:r>
    </w:p>
    <w:p>
      <w:pPr>
        <w:pStyle w:val="Normal"/>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bCs/>
          <w:sz w:val="18"/>
          <w:szCs w:val="18"/>
        </w:rPr>
        <w:t xml:space="preserve"> </w:t>
      </w:r>
      <w:r>
        <w:rPr>
          <w:rFonts w:cs="Calibri" w:ascii="Calibri" w:hAnsi="Calibri" w:asciiTheme="minorHAnsi" w:cstheme="minorHAnsi" w:hAnsiTheme="minorHAnsi"/>
          <w:color w:val="000000"/>
          <w:sz w:val="18"/>
          <w:szCs w:val="18"/>
        </w:rPr>
        <w:t>zwaną dalej „</w:t>
      </w:r>
      <w:r>
        <w:rPr>
          <w:rFonts w:cs="Calibri" w:ascii="Calibri" w:hAnsi="Calibri" w:asciiTheme="minorHAnsi" w:cstheme="minorHAnsi" w:hAnsiTheme="minorHAnsi"/>
          <w:b/>
          <w:color w:val="000000"/>
          <w:sz w:val="18"/>
          <w:szCs w:val="18"/>
        </w:rPr>
        <w:t>Wykonawcą</w:t>
      </w:r>
      <w:r>
        <w:rPr>
          <w:rFonts w:cs="Calibri" w:ascii="Calibri" w:hAnsi="Calibri" w:asciiTheme="minorHAnsi" w:cstheme="minorHAnsi" w:hAnsiTheme="minorHAnsi"/>
          <w:color w:val="000000"/>
          <w:sz w:val="18"/>
          <w:szCs w:val="18"/>
        </w:rPr>
        <w:t>”,</w:t>
      </w:r>
    </w:p>
    <w:p>
      <w:pPr>
        <w:pStyle w:val="Normal"/>
        <w:spacing w:before="120" w:after="120"/>
        <w:jc w:val="both"/>
        <w:rPr>
          <w:rFonts w:ascii="Calibri" w:hAnsi="Calibri" w:cs="Calibri" w:asciiTheme="minorHAnsi" w:cstheme="minorHAnsi" w:hAnsiTheme="minorHAnsi"/>
          <w:bCs/>
          <w:color w:val="000000"/>
          <w:spacing w:val="-3"/>
          <w:sz w:val="18"/>
          <w:szCs w:val="18"/>
        </w:rPr>
      </w:pPr>
      <w:r>
        <w:rPr>
          <w:rFonts w:cs="Calibri" w:ascii="Calibri" w:hAnsi="Calibri" w:asciiTheme="minorHAnsi" w:cstheme="minorHAnsi" w:hAnsiTheme="minorHAnsi"/>
          <w:bCs/>
          <w:color w:val="000000"/>
          <w:spacing w:val="-3"/>
          <w:sz w:val="18"/>
          <w:szCs w:val="18"/>
        </w:rPr>
        <w:t>a</w:t>
      </w:r>
    </w:p>
    <w:p>
      <w:pPr>
        <w:pStyle w:val="Normal"/>
        <w:spacing w:before="120" w:after="120"/>
        <w:rPr>
          <w:rFonts w:ascii="Calibri" w:hAnsi="Calibri" w:cs="Calibri" w:asciiTheme="minorHAnsi" w:cstheme="minorHAnsi" w:hAnsiTheme="minorHAnsi"/>
          <w:color w:val="000000"/>
          <w:sz w:val="18"/>
          <w:szCs w:val="18"/>
          <w:highlight w:val="yellow"/>
        </w:rPr>
      </w:pPr>
      <w:r>
        <w:rPr>
          <w:rFonts w:cs="Calibri" w:ascii="Calibri" w:hAnsi="Calibri" w:asciiTheme="minorHAnsi" w:cstheme="minorHAnsi" w:hAnsiTheme="minorHAnsi"/>
          <w:color w:val="000000"/>
          <w:sz w:val="18"/>
          <w:szCs w:val="18"/>
          <w:highlight w:val="yellow"/>
        </w:rPr>
        <w:t>___________________________________</w:t>
      </w:r>
    </w:p>
    <w:p>
      <w:pPr>
        <w:pStyle w:val="Normal"/>
        <w:spacing w:before="120" w:after="120"/>
        <w:rPr>
          <w:rFonts w:ascii="Calibri" w:hAnsi="Calibri" w:cs="Calibri" w:asciiTheme="minorHAnsi" w:cstheme="minorHAnsi" w:hAnsiTheme="minorHAnsi"/>
          <w:color w:val="000000"/>
          <w:sz w:val="18"/>
          <w:szCs w:val="18"/>
          <w:highlight w:val="yellow"/>
        </w:rPr>
      </w:pPr>
      <w:r>
        <w:rPr>
          <w:rFonts w:cs="Calibri" w:ascii="Calibri" w:hAnsi="Calibri" w:asciiTheme="minorHAnsi" w:cstheme="minorHAnsi" w:hAnsiTheme="minorHAnsi"/>
          <w:color w:val="000000"/>
          <w:sz w:val="18"/>
          <w:szCs w:val="18"/>
          <w:highlight w:val="yellow"/>
        </w:rPr>
        <w:t>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highlight w:val="yellow"/>
        </w:rPr>
        <w:t>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highlight w:val="yellow"/>
        </w:rPr>
        <w:t>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zwaną dalej „</w:t>
      </w:r>
      <w:r>
        <w:rPr>
          <w:rFonts w:cs="Calibri" w:ascii="Calibri" w:hAnsi="Calibri" w:asciiTheme="minorHAnsi" w:cstheme="minorHAnsi" w:hAnsiTheme="minorHAnsi"/>
          <w:b/>
          <w:color w:val="000000"/>
          <w:sz w:val="18"/>
          <w:szCs w:val="18"/>
        </w:rPr>
        <w:t>Zamawiającym</w:t>
      </w:r>
      <w:r>
        <w:rPr>
          <w:rFonts w:cs="Calibri" w:ascii="Calibri" w:hAnsi="Calibri" w:asciiTheme="minorHAnsi" w:cstheme="minorHAnsi" w:hAnsiTheme="minorHAnsi"/>
          <w:color w:val="000000"/>
          <w:sz w:val="18"/>
          <w:szCs w:val="18"/>
        </w:rPr>
        <w:t>”,</w:t>
      </w:r>
    </w:p>
    <w:p>
      <w:pPr>
        <w:pStyle w:val="Normal"/>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zwanymi w dalszej części Umowy łącznie „</w:t>
      </w:r>
      <w:r>
        <w:rPr>
          <w:rFonts w:cs="Calibri" w:ascii="Calibri" w:hAnsi="Calibri" w:asciiTheme="minorHAnsi" w:cstheme="minorHAnsi" w:hAnsiTheme="minorHAnsi"/>
          <w:b/>
          <w:color w:val="000000"/>
          <w:sz w:val="18"/>
          <w:szCs w:val="18"/>
        </w:rPr>
        <w:t>Stronami</w:t>
      </w:r>
      <w:r>
        <w:rPr>
          <w:rFonts w:cs="Calibri" w:ascii="Calibri" w:hAnsi="Calibri" w:asciiTheme="minorHAnsi" w:cstheme="minorHAnsi" w:hAnsiTheme="minorHAnsi"/>
          <w:color w:val="000000"/>
          <w:sz w:val="18"/>
          <w:szCs w:val="18"/>
        </w:rPr>
        <w:t>” lub każdą z osobna „</w:t>
      </w:r>
      <w:r>
        <w:rPr>
          <w:rFonts w:cs="Calibri" w:ascii="Calibri" w:hAnsi="Calibri" w:asciiTheme="minorHAnsi" w:cstheme="minorHAnsi" w:hAnsiTheme="minorHAnsi"/>
          <w:b/>
          <w:color w:val="000000"/>
          <w:sz w:val="18"/>
          <w:szCs w:val="18"/>
        </w:rPr>
        <w:t>Stroną</w:t>
      </w:r>
      <w:r>
        <w:rPr>
          <w:rFonts w:cs="Calibri" w:ascii="Calibri" w:hAnsi="Calibri" w:asciiTheme="minorHAnsi" w:cstheme="minorHAnsi" w:hAnsiTheme="minorHAnsi"/>
          <w:color w:val="000000"/>
          <w:sz w:val="18"/>
          <w:szCs w:val="18"/>
        </w:rPr>
        <w:t>”,</w:t>
      </w:r>
    </w:p>
    <w:p>
      <w:pPr>
        <w:pStyle w:val="Normal"/>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o treści następującej:</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DEFINICJE:</w:t>
      </w:r>
    </w:p>
    <w:p>
      <w:pPr>
        <w:pStyle w:val="Normal"/>
        <w:widowControl w:val="false"/>
        <w:numPr>
          <w:ilvl w:val="0"/>
          <w:numId w:val="70"/>
        </w:numPr>
        <w:suppressAutoHyphens w:val="true"/>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 xml:space="preserve">System medyczny </w:t>
      </w:r>
      <w:r>
        <w:rPr>
          <w:rFonts w:cs="Calibri" w:ascii="Calibri" w:hAnsi="Calibri" w:asciiTheme="minorHAnsi" w:cstheme="minorHAnsi" w:hAnsiTheme="minorHAnsi"/>
          <w:color w:val="000000"/>
          <w:sz w:val="18"/>
          <w:szCs w:val="18"/>
        </w:rPr>
        <w:t>- program informatyczny Wykonawcy, o budowie modułowej, przeznaczony do pracy i zarządzania jednostkami lecznictwa otwartego i zamkniętego, wdrożony w organizacji Zamawiającego, w zakresie modułów zdefiniowanych w Załączniku nr 4 do Umowy.</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 „</w:t>
      </w:r>
      <w:r>
        <w:rPr>
          <w:rFonts w:cs="Calibri" w:ascii="Calibri" w:hAnsi="Calibri" w:asciiTheme="minorHAnsi" w:cstheme="minorHAnsi" w:hAnsiTheme="minorHAnsi"/>
          <w:b/>
          <w:color w:val="000000"/>
          <w:sz w:val="18"/>
          <w:szCs w:val="18"/>
        </w:rPr>
        <w:t>Dokumentacja Użytkownika</w:t>
      </w:r>
      <w:r>
        <w:rPr>
          <w:rFonts w:cs="Calibri" w:ascii="Calibri" w:hAnsi="Calibri" w:asciiTheme="minorHAnsi" w:cstheme="minorHAnsi" w:hAnsiTheme="minorHAnsi"/>
          <w:color w:val="000000"/>
          <w:sz w:val="18"/>
          <w:szCs w:val="18"/>
        </w:rPr>
        <w:t xml:space="preserve">” - oznacza dokumentację użytkownika Systemu medycznego w wersji elektronicznej </w:t>
        <w:br/>
        <w:t>lub pisemnej.</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Etap</w:t>
      </w:r>
      <w:r>
        <w:rPr>
          <w:rFonts w:cs="Calibri" w:ascii="Calibri" w:hAnsi="Calibri" w:asciiTheme="minorHAnsi" w:cstheme="minorHAnsi" w:hAnsiTheme="minorHAnsi"/>
          <w:color w:val="000000"/>
          <w:sz w:val="18"/>
          <w:szCs w:val="18"/>
        </w:rPr>
        <w:t>” – oznacza etap Umowy określony w Planie Wdrożenia, podlegający odrębnemu odbiorowi oraz rozliczeniu, zgodnie z warunkami Umowy.</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Infrastruktura Sprzętowa</w:t>
      </w:r>
      <w:r>
        <w:rPr>
          <w:rFonts w:cs="Calibri" w:ascii="Calibri" w:hAnsi="Calibri" w:asciiTheme="minorHAnsi" w:cstheme="minorHAnsi" w:hAnsiTheme="minorHAnsi"/>
          <w:color w:val="000000"/>
          <w:sz w:val="18"/>
          <w:szCs w:val="18"/>
        </w:rPr>
        <w:t xml:space="preserve"> – infrastruktura techniczna zapewniana przez Zamawiającego, między innymi: serwery, macierz, stacje robocze wraz z oprogramowaniem systemowym i oprogramowaniem narzędziowym, niezbędne dla uruchomienia i eksploatacji Systemu medycznego, spełniająca wymagania zdefiniowane w Załączniku nr 6.</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Licencja</w:t>
      </w:r>
      <w:r>
        <w:rPr>
          <w:rFonts w:cs="Calibri" w:ascii="Calibri" w:hAnsi="Calibri" w:asciiTheme="minorHAnsi" w:cstheme="minorHAnsi" w:hAnsiTheme="minorHAnsi"/>
          <w:color w:val="000000"/>
          <w:sz w:val="18"/>
          <w:szCs w:val="18"/>
        </w:rPr>
        <w:t>”, „</w:t>
      </w:r>
      <w:r>
        <w:rPr>
          <w:rFonts w:cs="Calibri" w:ascii="Calibri" w:hAnsi="Calibri" w:asciiTheme="minorHAnsi" w:cstheme="minorHAnsi" w:hAnsiTheme="minorHAnsi"/>
          <w:b/>
          <w:color w:val="000000"/>
          <w:sz w:val="18"/>
          <w:szCs w:val="18"/>
        </w:rPr>
        <w:t>Licencja Systemu medycznego</w:t>
      </w:r>
      <w:r>
        <w:rPr>
          <w:rFonts w:cs="Calibri" w:ascii="Calibri" w:hAnsi="Calibri" w:asciiTheme="minorHAnsi" w:cstheme="minorHAnsi" w:hAnsiTheme="minorHAnsi"/>
          <w:color w:val="000000"/>
          <w:sz w:val="18"/>
          <w:szCs w:val="18"/>
        </w:rPr>
        <w:t>” - oznacza Załącznik nr 3 do Umowy, określający warunki korzystania z Systemu medycznego.</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Kierownik Zespołu Wykonawcy</w:t>
      </w:r>
      <w:r>
        <w:rPr>
          <w:rFonts w:cs="Calibri" w:ascii="Calibri" w:hAnsi="Calibri" w:asciiTheme="minorHAnsi" w:cstheme="minorHAnsi" w:hAnsiTheme="minorHAnsi"/>
          <w:color w:val="000000"/>
          <w:sz w:val="18"/>
          <w:szCs w:val="18"/>
        </w:rPr>
        <w:t>” - oznacza osobę wyznaczoną przez Wykonawcę do nadzorowania i koordynowania prac Zespołu Wdrożeniowego Wykonawcy.</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Kierownik Zespołu Zamawiającego</w:t>
      </w:r>
      <w:r>
        <w:rPr>
          <w:rFonts w:cs="Calibri" w:ascii="Calibri" w:hAnsi="Calibri" w:asciiTheme="minorHAnsi" w:cstheme="minorHAnsi" w:hAnsiTheme="minorHAnsi"/>
          <w:color w:val="000000"/>
          <w:sz w:val="18"/>
          <w:szCs w:val="18"/>
        </w:rPr>
        <w:t>” - oznacza osobę wyznaczoną przez Zamawiającego do nadzorowania prac Zespołu Wdrożeniowego Zamawiającego i Zespołu Wdrożeniowego Wykonawcy.</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Moduł</w:t>
      </w: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 xml:space="preserve"> </w:t>
      </w: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 xml:space="preserve"> </w:t>
      </w:r>
      <w:r>
        <w:rPr>
          <w:rFonts w:cs="Calibri" w:ascii="Calibri" w:hAnsi="Calibri" w:asciiTheme="minorHAnsi" w:cstheme="minorHAnsi" w:hAnsiTheme="minorHAnsi"/>
          <w:color w:val="000000"/>
          <w:sz w:val="18"/>
          <w:szCs w:val="18"/>
        </w:rPr>
        <w:t>oznacza wyodrębniony pod względem funkcjonalnym element Systemu medycznego, określony w Specyfikacji.</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Opłata Licencyjna</w:t>
      </w:r>
      <w:r>
        <w:rPr>
          <w:rFonts w:cs="Calibri" w:ascii="Calibri" w:hAnsi="Calibri" w:asciiTheme="minorHAnsi" w:cstheme="minorHAnsi" w:hAnsiTheme="minorHAnsi"/>
          <w:color w:val="000000"/>
          <w:sz w:val="18"/>
          <w:szCs w:val="18"/>
        </w:rPr>
        <w:t xml:space="preserve"> - oznacza wynagrodzenie Wykonawcy z tytułu udzielenia Zamawiającemu prawa do korzystania </w:t>
        <w:br/>
        <w:t>z Systemu medycznego na warunkach określnych w Licencji Systemu medycznego.</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Plan Wdrożenia</w:t>
      </w:r>
      <w:r>
        <w:rPr>
          <w:rFonts w:cs="Calibri" w:ascii="Calibri" w:hAnsi="Calibri" w:asciiTheme="minorHAnsi" w:cstheme="minorHAnsi" w:hAnsiTheme="minorHAnsi"/>
          <w:color w:val="000000"/>
          <w:sz w:val="18"/>
          <w:szCs w:val="18"/>
        </w:rPr>
        <w:t>” - oznacza dokument stanowiący Załącznik nr 1 do Umowy zawierający harmonogram realizacji Umowy w podziale na Etapy.</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Specyfikacja</w:t>
      </w:r>
      <w:r>
        <w:rPr>
          <w:rFonts w:cs="Calibri" w:ascii="Calibri" w:hAnsi="Calibri" w:asciiTheme="minorHAnsi" w:cstheme="minorHAnsi" w:hAnsiTheme="minorHAnsi"/>
          <w:color w:val="000000"/>
          <w:sz w:val="18"/>
          <w:szCs w:val="18"/>
        </w:rPr>
        <w:t>” - oznacza Załącznik nr 5 do Umowy, określający zbiór Modułów i/lub funkcjonalności Systemu medycznego dostarczane Zamawiającemu w ramach Umowy, a także zakres oraz sposób wykonania Wdrożenia.</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Gwarancja</w:t>
      </w:r>
      <w:r>
        <w:rPr>
          <w:rFonts w:cs="Calibri" w:ascii="Calibri" w:hAnsi="Calibri" w:asciiTheme="minorHAnsi" w:cstheme="minorHAnsi" w:hAnsiTheme="minorHAnsi"/>
          <w:color w:val="000000"/>
          <w:sz w:val="18"/>
          <w:szCs w:val="18"/>
        </w:rPr>
        <w:t>” – oznacza udzieloną przez Wykonawcę gwarancję jakości dla Systemu medycznego, na warunkach określonych w Załączniku nr 4 do Umowy.</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Umowa</w:t>
      </w:r>
      <w:r>
        <w:rPr>
          <w:rFonts w:cs="Calibri" w:ascii="Calibri" w:hAnsi="Calibri" w:asciiTheme="minorHAnsi" w:cstheme="minorHAnsi" w:hAnsiTheme="minorHAnsi"/>
          <w:color w:val="000000"/>
          <w:sz w:val="18"/>
          <w:szCs w:val="18"/>
        </w:rPr>
        <w:t>” - oznacza niniejszą umowę wraz z wymienionymi i dołączonymi do niej Załącznikami.</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Użytkownik</w:t>
      </w: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 xml:space="preserve"> </w:t>
      </w:r>
      <w:r>
        <w:rPr>
          <w:rFonts w:cs="Calibri" w:ascii="Calibri" w:hAnsi="Calibri" w:asciiTheme="minorHAnsi" w:cstheme="minorHAnsi" w:hAnsiTheme="minorHAnsi"/>
          <w:color w:val="000000"/>
          <w:sz w:val="18"/>
          <w:szCs w:val="18"/>
        </w:rPr>
        <w:t>- oznacza osobę korzystającą z Systemu medycznego w organizacji Zamawiającego.</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Wdrożenie</w:t>
      </w:r>
      <w:r>
        <w:rPr>
          <w:rFonts w:cs="Calibri" w:ascii="Calibri" w:hAnsi="Calibri" w:asciiTheme="minorHAnsi" w:cstheme="minorHAnsi" w:hAnsiTheme="minorHAnsi"/>
          <w:color w:val="000000"/>
          <w:sz w:val="18"/>
          <w:szCs w:val="18"/>
        </w:rPr>
        <w:t>” - oznacza proces przeprowadzenia przez Wykonawcę instalacji, konfiguracji i uruchomienia Systemu medycznego na Infrastrukturze Sprzętowej w organizacji Zamawiającego.</w:t>
      </w:r>
    </w:p>
    <w:p>
      <w:pPr>
        <w:pStyle w:val="Normal"/>
        <w:numPr>
          <w:ilvl w:val="0"/>
          <w:numId w:val="9"/>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Zespół Wdrożeniowy Wykonawcy</w:t>
      </w:r>
      <w:r>
        <w:rPr>
          <w:rFonts w:cs="Calibri" w:ascii="Calibri" w:hAnsi="Calibri" w:asciiTheme="minorHAnsi" w:cstheme="minorHAnsi" w:hAnsiTheme="minorHAnsi"/>
          <w:color w:val="000000"/>
          <w:sz w:val="18"/>
          <w:szCs w:val="18"/>
        </w:rPr>
        <w:t>” - oznacza zespół wdrożeniowy powołany przez Wykonawcę dla wykonania przedmiotu Umowy.</w:t>
      </w:r>
    </w:p>
    <w:p>
      <w:pPr>
        <w:pStyle w:val="Normal"/>
        <w:numPr>
          <w:ilvl w:val="0"/>
          <w:numId w:val="9"/>
        </w:numPr>
        <w:spacing w:before="120" w:after="12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Zespół Wdrożeniowy Zamawiającego</w:t>
      </w:r>
      <w:r>
        <w:rPr>
          <w:rFonts w:cs="Calibri" w:ascii="Calibri" w:hAnsi="Calibri" w:asciiTheme="minorHAnsi" w:cstheme="minorHAnsi" w:hAnsiTheme="minorHAnsi"/>
          <w:color w:val="000000"/>
          <w:sz w:val="18"/>
          <w:szCs w:val="18"/>
        </w:rPr>
        <w:t>” - oznacza zespół wdrożeniowy powołany przez Zamawiającego dla wykonania przedmiotu Umowy.</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OŚWIADCZENIA STRON</w:t>
      </w:r>
    </w:p>
    <w:p>
      <w:pPr>
        <w:pStyle w:val="BodyText2"/>
        <w:numPr>
          <w:ilvl w:val="0"/>
          <w:numId w:val="8"/>
        </w:numPr>
        <w:tabs>
          <w:tab w:val="clear" w:pos="709"/>
        </w:tabs>
        <w:spacing w:before="120" w:after="120"/>
        <w:ind w:left="360" w:hanging="36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 oświadcza, że posiada odpowiednie przygotowanie, merytoryczną wiedzę i doświadczenie przy świadczeniu usług informatycznych objętych niniejszą Umową oraz, że zobowiązuje się w tym zakresie dołożyć należytej zawodowej staranności przy wykonywaniu przedmiotu niniejszej Umowy.</w:t>
      </w:r>
    </w:p>
    <w:p>
      <w:pPr>
        <w:pStyle w:val="BodyText2"/>
        <w:numPr>
          <w:ilvl w:val="0"/>
          <w:numId w:val="8"/>
        </w:numPr>
        <w:tabs>
          <w:tab w:val="clear" w:pos="709"/>
        </w:tabs>
        <w:spacing w:before="120" w:after="120"/>
        <w:ind w:left="360" w:hanging="36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oświadcza, że zapoznał się ze Specyfikacją oraz, że dysponuje Infrastrukturą Sprzętową niezbędną dla Wdrożenia i wykonania przez Wykonawcę niniejszej Umowy.</w:t>
      </w:r>
    </w:p>
    <w:p>
      <w:pPr>
        <w:pStyle w:val="BodyText2"/>
        <w:numPr>
          <w:ilvl w:val="0"/>
          <w:numId w:val="8"/>
        </w:numPr>
        <w:tabs>
          <w:tab w:val="clear" w:pos="709"/>
        </w:tabs>
        <w:spacing w:before="120" w:after="120"/>
        <w:ind w:left="360" w:hanging="36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Wdrożenie Systemu medycznego nastąpi zgodnie z Umową, w szczególności Specyfikacją oraz Planem Wdrożenia. </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PRZEDMIOT UMOWY</w:t>
      </w:r>
    </w:p>
    <w:p>
      <w:pPr>
        <w:pStyle w:val="BodyTextIndent2"/>
        <w:spacing w:before="120" w:after="120"/>
        <w:ind w:left="0" w:hanging="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Przedmiotem niniejszej Umowy jest: </w:t>
      </w:r>
    </w:p>
    <w:p>
      <w:pPr>
        <w:pStyle w:val="BodyTextIndent2"/>
        <w:numPr>
          <w:ilvl w:val="0"/>
          <w:numId w:val="46"/>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Wdrożenie przez Wykonawcę na Infrastrukturze Sprzętowej Systemu medycznego, </w:t>
      </w:r>
    </w:p>
    <w:p>
      <w:pPr>
        <w:pStyle w:val="BodyTextIndent2"/>
        <w:numPr>
          <w:ilvl w:val="0"/>
          <w:numId w:val="46"/>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udzielenie Zamawiającemu Licencji na korzystanie z Systemu medycznego, </w:t>
      </w:r>
    </w:p>
    <w:p>
      <w:pPr>
        <w:pStyle w:val="BodyTextIndent2"/>
        <w:numPr>
          <w:ilvl w:val="0"/>
          <w:numId w:val="46"/>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świadczenie przez Wykonawcę na rzecz Zamawiającego usług w ramach udzielonej Gwarancji.</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2</w:t>
      </w:r>
    </w:p>
    <w:p>
      <w:pPr>
        <w:pStyle w:val="Normal"/>
        <w:spacing w:before="120" w:after="120"/>
        <w:jc w:val="center"/>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LICENCJA</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Zamawiający jest uprawniony do korzystania z Systemu medycznego jedynie w zakresie określonym </w:t>
        <w:br/>
        <w:t>w Licencji udzielonej mu przez Wykonawcę.</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Umowa niniejsza nie powoduje przeniesienia na rzecz Zamawiającego majątkowych praw autorskich do Systemu medycznego, w tym do utworów powstałych w wyniku wykonywania niniejszej Umowy przez Wykonawcę, ani w sposób wyraźny ani jakikolwiek inny.</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Strony zgodnie postanawiają, że w terminie określonym w Planie Wdrożenia, Wykonawca udostępni Zamawiającemu System medyczny wraz z Licencją.</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 chwilą podpisania Protokół Odbioru Etapu, Wykonawca udziela Zamawiającemu niewyłącznej licencji bezterminowej na korzystanie z Systemu medycznego, na warunkach określonych w Licencji. </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bezskutecznego upływu terminu zapłaty Opłaty Licencyjnej określonego w niniejszej Umowie: </w:t>
      </w:r>
    </w:p>
    <w:p>
      <w:pPr>
        <w:pStyle w:val="Normal"/>
        <w:numPr>
          <w:ilvl w:val="2"/>
          <w:numId w:val="9"/>
        </w:numPr>
        <w:tabs>
          <w:tab w:val="left" w:pos="709" w:leader="none"/>
        </w:tabs>
        <w:spacing w:before="120" w:after="120"/>
        <w:ind w:left="709" w:hanging="142"/>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wygasa licencja i prawo Zamawiającego do legalnego korzystania z Systemu medycznego, chyba że zachodzi przypadek określony w ust. 6 poniżej,</w:t>
      </w:r>
    </w:p>
    <w:p>
      <w:pPr>
        <w:pStyle w:val="Normal"/>
        <w:numPr>
          <w:ilvl w:val="2"/>
          <w:numId w:val="9"/>
        </w:numPr>
        <w:tabs>
          <w:tab w:val="left" w:pos="709" w:leader="none"/>
        </w:tabs>
        <w:spacing w:before="120" w:after="120"/>
        <w:ind w:left="709" w:hanging="142"/>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zobowiązany jest do zaprzestania korzystania z Systemu medycznego, Dokumentacji Użytkownika oraz materiałów towarzyszących w jakikolwiek sposób,</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przypadku wskazanym w ust. 5 powyżej, Wykonawca może wyznaczyć Zamawiającemu dodatkowy termin do zapłaty Opłaty Licencyjnej. W takim przypadku przyjmuje się, że Zamawiający posiadał prawo do legalnego korzystania z Systemu medycznego do dnia zapłaty, pod warunkiem terminowego uiszczenia przez Zamawiającego Opłaty Licencyjnej, w dodatkowym terminie wskazanym przez Wykonawcę w wezwaniu. Powyższe stanowi wyłącznie uprawnienie Wykonawcy i Zamawiającemu z tego tytułu nie przysługują jakiekolwiek roszczenia wobec Wykonawcy.</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okresie realizacji Wdrożenia, do czasu udzielenia licencji, o której mowa powyżej, Wykonawca udziela Zamawiającemu niewyłącznej, terminowej licencji testowej (na czas wdrożenia) wyłącznie w celu weryfikowania poprawności Wdrożenia Systemu medycznego, bez prawa do korzystania z Systemu w jakikolwiek inny sposób lub w innym celu (np. </w:t>
        <w:br/>
        <w:t xml:space="preserve">w celu produkcyjnym). Pkt VI i VII Licencji Systemu medycznego stosuje się odpowiednio. </w:t>
      </w:r>
    </w:p>
    <w:p>
      <w:pPr>
        <w:pStyle w:val="Normal"/>
        <w:numPr>
          <w:ilvl w:val="0"/>
          <w:numId w:val="20"/>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oświadcza, że zapoznał się z warunkami Licencji Systemu medycznego.</w:t>
      </w:r>
    </w:p>
    <w:p>
      <w:pPr>
        <w:pStyle w:val="Normal"/>
        <w:keepNext w:val="tru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3</w:t>
      </w:r>
    </w:p>
    <w:p>
      <w:pPr>
        <w:pStyle w:val="Normal"/>
        <w:keepNext w:val="tru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WDROŻENIE I OBOWIĄZKI WYKONAWCY</w:t>
      </w:r>
    </w:p>
    <w:p>
      <w:pPr>
        <w:pStyle w:val="BodyText3"/>
        <w:numPr>
          <w:ilvl w:val="0"/>
          <w:numId w:val="13"/>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ramach Wdrożenia Systemu medycznego Wykonawca jest zobowiązany do:</w:t>
      </w:r>
    </w:p>
    <w:p>
      <w:pPr>
        <w:pStyle w:val="BodyText3"/>
        <w:numPr>
          <w:ilvl w:val="7"/>
          <w:numId w:val="10"/>
        </w:numPr>
        <w:tabs>
          <w:tab w:val="clear" w:pos="709"/>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Wykonania analizy przedwdrożeniowej,</w:t>
      </w:r>
    </w:p>
    <w:p>
      <w:pPr>
        <w:pStyle w:val="BodyText3"/>
        <w:numPr>
          <w:ilvl w:val="7"/>
          <w:numId w:val="10"/>
        </w:numPr>
        <w:tabs>
          <w:tab w:val="clear" w:pos="709"/>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Instalacji i konfiguracji Systemu medycznego na Infrastrukturze Sprzętowej,</w:t>
      </w:r>
    </w:p>
    <w:p>
      <w:pPr>
        <w:pStyle w:val="BodyText3"/>
        <w:numPr>
          <w:ilvl w:val="7"/>
          <w:numId w:val="10"/>
        </w:numPr>
        <w:tabs>
          <w:tab w:val="clear" w:pos="709"/>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Wykonania testów powdrożeniowych,</w:t>
      </w:r>
    </w:p>
    <w:p>
      <w:pPr>
        <w:pStyle w:val="BodyText3"/>
        <w:numPr>
          <w:ilvl w:val="7"/>
          <w:numId w:val="10"/>
        </w:numPr>
        <w:tabs>
          <w:tab w:val="clear" w:pos="709"/>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Dostarczenia Dokumentacji Użytkownika,</w:t>
      </w:r>
    </w:p>
    <w:p>
      <w:pPr>
        <w:pStyle w:val="BodyText3"/>
        <w:numPr>
          <w:ilvl w:val="7"/>
          <w:numId w:val="10"/>
        </w:numPr>
        <w:tabs>
          <w:tab w:val="clear" w:pos="709"/>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Jednorazowego przeszkolenia użytkowników wskazanych przez Zamawiającego.</w:t>
      </w:r>
    </w:p>
    <w:p>
      <w:pPr>
        <w:pStyle w:val="BodyText3"/>
        <w:numPr>
          <w:ilvl w:val="0"/>
          <w:numId w:val="13"/>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Wdrożenie wykonywane będzie zgodnie ze Specyfikacją i Planem Wdrożenia, chyba że Strony zgodnie postanowią inaczej w formie pisemnej, pod rygorem nieważności.</w:t>
      </w:r>
    </w:p>
    <w:p>
      <w:pPr>
        <w:pStyle w:val="BodyText3"/>
        <w:numPr>
          <w:ilvl w:val="0"/>
          <w:numId w:val="13"/>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Strony ustalają, że będą prowadzić dokumentację wdrożeniową, obejmującą między innymi notatki, raporty i protokoły.</w:t>
      </w:r>
    </w:p>
    <w:p>
      <w:pPr>
        <w:pStyle w:val="BodyText3"/>
        <w:numPr>
          <w:ilvl w:val="0"/>
          <w:numId w:val="13"/>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Zamawiający nie może powoływać się na uchybienia, błędy lub inne działania noszące znamiona nienależytego wykonania Umowy, jeżeli o takich uchybieniach, błędach lub innych działaniach nie informował niezwłocznie Wykonawcę. </w:t>
      </w:r>
    </w:p>
    <w:p>
      <w:pPr>
        <w:pStyle w:val="BodyText3"/>
        <w:numPr>
          <w:ilvl w:val="0"/>
          <w:numId w:val="13"/>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nie może powoływać się na uchybienia, błędy lub inne nieprawidłowe działania Systemu medycznego, które powstały na skutek przekazania przez Zamawiającego błędnych danych lub informacji.</w:t>
      </w:r>
    </w:p>
    <w:p>
      <w:pPr>
        <w:pStyle w:val="Normal"/>
        <w:numPr>
          <w:ilvl w:val="0"/>
          <w:numId w:val="1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System medyczny zapewnia standardowe statystyki i raporty określone w Specyfikacji. Wykonawca może opracować  niestandardowe statystyki lub raporty uzgodnione przez Strony, za dodatkowym wynagrodzeniem i w terminie określonym przez Wykonawcę w ofercie złożonej Zamawiającemu na podstawie powyższych uzgodnień.</w:t>
      </w:r>
    </w:p>
    <w:p>
      <w:pPr>
        <w:pStyle w:val="Normal"/>
        <w:numPr>
          <w:ilvl w:val="0"/>
          <w:numId w:val="13"/>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potwierdzi przeprowadzenie każdego Etapu Wdrożenia, podpisując właściwy Protokół Odbioru Etapu.</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4</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ZOBOWIĄZANIA ZAMAWIAJĄCEGO</w:t>
      </w:r>
    </w:p>
    <w:p>
      <w:pPr>
        <w:pStyle w:val="Normal"/>
        <w:numPr>
          <w:ilvl w:val="0"/>
          <w:numId w:val="22"/>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zobowiązany jest do bieżącej współpracy z Wykonawcą w zakresie niezbędnym do należytego wykonania Umowy.</w:t>
      </w:r>
    </w:p>
    <w:p>
      <w:pPr>
        <w:pStyle w:val="Normal"/>
        <w:numPr>
          <w:ilvl w:val="0"/>
          <w:numId w:val="22"/>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w trakcie realizacji Umowy zobowiązuje się w szczególności do:</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Informowania Wykonawcy o zamiarach wprowadzenia zmian organizacyjnych Zamawiającego, mogących mieć wpływ na przebieg prac związanych z realizacją Umowy; zmiany w zakresie prac, spowodowane zmianami organizacyjnymi Zamawiającego, będą dokonywane w formie aneksów do niniejszej Umowy.</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Zapewnienia upoważnionym pracownikom Wykonawcy lub jego współpracownikom wstępu na teren swojego przedsiębiorstwa w zakresie, w jakim jest to niezbędne do wykonywania niniejszej Umowy oraz możliwości pracy w godzinach pracy Zamawiającego, a także poza normalnymi godzinami pracy, po uprzednim uzgodnieniu terminów i okresów pracy oraz zapewnienia obecności w tym czasie upoważnionego przedstawiciela Zamawiającego.</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Zapewnienia osobom, wyznaczonym do wykonania przez Wykonawcę określonych prac, koniecznego dostępu do wszelkich źródeł informacji, osób, dokumentów, niezbędnych do prawidłowego i należytego wykonania prac objętych Umową, w zakresie, w jakim Zamawiający takimi osobami, dokumentami lub informacjami dysponuje lub, które może uzyskać.</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Zapewnienia osobom, wyznaczonym do wykonania przez Wykonawcę określonych prac, koniecznego dostępu do Infrastruktury Sprzętowej niezbędnej do prawidłowego i należytego wykonania prac objętych Umową, w tym zapewnienie Wykonawcy nieprzerwanego zdalnego dostępu do Systemu medycznego (za pośrednictwem łącz transmisji danych o uzgodnionych parametrach) przez cały okres obowiązywania Umowy, w tym przez okres Gwarancji.</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Niezwłocznego odpowiadania na wnioski o wprowadzenie określonych procedur, wnioski o podanie informacji, raporty na temat problemów występujących w trakcie realizacji Umowy w uzgodnionych każdorazowo terminach. W przypadku, gdy nie są podane konkretne terminy należy odpowiedzieć na piśmie w ciągu trzech (3) dni roboczych na wnioski o podanie informacji licząc od dnia otrzymania danego wniosku.</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Zapewnienia, uruchomienia i utrzymania na własny koszt niezbędnej Infrastruktury Sprzętowej w terminie określonym w Planie Wdrożenia, przez cały okres obowiązywania Umowy, w tym przez okres Gwarancji. </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Zapewnienie, na koszt Zamawiającego, współpracy i wsparcia producenta lub autoryzowanego przedstawiciela producenta oprogramowania osób trzecich, z którego korzysta Zamawiający, dla przeprowadzenia przez Wykonawcę określonej w Umowie integracji Systemu medycznego z tym oprogramowaniem.</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Zapewnienia dostępu i możliwości zapoznania się Wykonawcy ze wszystkimi przepisami i regulaminami obowiązującymi u Zamawiającego, które mogą mieć zastosowanie w realizacji Umowy.</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Zapewnienia niezbędnych służb informatycznych zajmujących się bieżącym administrowaniem Systemu medycznego oraz udzielaniem pomocy użytkownikom korzystającym z Systemu medycznego w organizacji Zamawiającego.</w:t>
      </w:r>
    </w:p>
    <w:p>
      <w:pPr>
        <w:pStyle w:val="Normal"/>
        <w:numPr>
          <w:ilvl w:val="0"/>
          <w:numId w:val="31"/>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Zapewnienie wyznaczonych osób dla przeprowadzenia szkolenia, w terminie uzgodnionym z Wykonawcą, oraz udostępnienie odpowiedniej salki, wyposażonej w rzutnik, dla należytego przeprowadzenia szkolenia.</w:t>
      </w:r>
    </w:p>
    <w:p>
      <w:pPr>
        <w:pStyle w:val="Normal"/>
        <w:numPr>
          <w:ilvl w:val="0"/>
          <w:numId w:val="22"/>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Jeśli z przyczyn nieleżących po stronie Wykonawcy, Zamawiający nie wywiąże się z obowiązków wymienionych w ust. 2, zastrzeżone w Planie Wdrożenia terminy wykonania poszczególnych Etapów, ulegną odpowiedniemu przesunięciu.</w:t>
      </w:r>
    </w:p>
    <w:p>
      <w:pPr>
        <w:pStyle w:val="Normal"/>
        <w:numPr>
          <w:ilvl w:val="0"/>
          <w:numId w:val="22"/>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na żądanie Wykonawcy jest zobowiązany do wydania Wykonawcy kopii (backup) swojej konfiguracji Systemu medycznego (bez zawartości baz danych).</w:t>
      </w:r>
    </w:p>
    <w:p>
      <w:pPr>
        <w:pStyle w:val="Normal"/>
        <w:numPr>
          <w:ilvl w:val="0"/>
          <w:numId w:val="22"/>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wyraża zgodę na wykonanie przez Wykonawcę kopii bazy danych (wraz z jej zawartością) i wykorzystanie jej, po anonimizacji danych, do celów szkoleniowych/prezentacyjnych i deweloperskich w ramach prowadzonej przez Zamawiającego działalności,  w tym w innych podmiotach.</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5</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ZESPÓŁ WDROŻENIOWY WYKONAWCY </w:t>
      </w:r>
    </w:p>
    <w:p>
      <w:pPr>
        <w:pStyle w:val="Normal"/>
        <w:numPr>
          <w:ilvl w:val="0"/>
          <w:numId w:val="5"/>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terminie do pięciu (5) dni roboczych od daty podpisania niniejszej Umowy Wykonawca zobowiązuje się przedstawić Zamawiającemu skład „Zespołu Wdrożeniowego Wykonawcy”, który będzie działał zgodnie z Planem Wdrożenia. Zespół Wdrożeniowy Wykonawcy będzie kierowany przez „Kierownika Zespołu Wykonawcy”.</w:t>
      </w:r>
    </w:p>
    <w:p>
      <w:pPr>
        <w:pStyle w:val="Normal"/>
        <w:numPr>
          <w:ilvl w:val="0"/>
          <w:numId w:val="5"/>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Zespół Wdrożeniowy Wykonawcy jest odpowiedzialny za realizację Umowy ze strony Wykonawcy. Zmiana lub uzupełnienie składu Zespołu Wdrożeniowego Wykonawcy wymaga poinformowania Zamawiającego o zmianie i nie wymaga aneksu do Umowy.</w:t>
      </w:r>
    </w:p>
    <w:p>
      <w:pPr>
        <w:pStyle w:val="Normal"/>
        <w:numPr>
          <w:ilvl w:val="0"/>
          <w:numId w:val="5"/>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Strony ustalają, że wszelkie informacje, uwagi związane z wykonywaniem Umowy, a kierowane do Wykonawcy, będą przekazywane  Kierownikowi Zespołu Wykonawcy lub przesyłane na adres Wykonawcy. </w:t>
      </w:r>
    </w:p>
    <w:p>
      <w:pPr>
        <w:pStyle w:val="Normal"/>
        <w:keepNext w:val="tru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6</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ZESPÓŁ WDROŻENIOWY ZAMAWIAJĄCEGO </w:t>
      </w:r>
    </w:p>
    <w:p>
      <w:pPr>
        <w:pStyle w:val="Normal"/>
        <w:numPr>
          <w:ilvl w:val="0"/>
          <w:numId w:val="6"/>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terminie do pięciu (5) dni roboczych od daty podpisania niniejszej Umowy Zamawiający zobowiązuje się przedstawić Wykonawcy skład „Zespołu Wdrożeniowego Zamawiającego” który będzie działał zgodnie z Planem Wdrożenia i wyznaczy „Kierownika Zespołu Zamawiającego”, który nadzorować będzie pracę Zespołu Wdrożeniowego Zamawiającego.</w:t>
      </w:r>
    </w:p>
    <w:p>
      <w:pPr>
        <w:pStyle w:val="Normal"/>
        <w:numPr>
          <w:ilvl w:val="0"/>
          <w:numId w:val="6"/>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Zespół Wdrożeniowy Zamawiającego jest odpowiedzialny za realizację Umowy ze strony Zamawiającego. Zmiana lub uzupełnienie składu Zespołu Wdrożeniowego Zamawiającego wymaga poinformowania Wykonawcy o zmianie i nie wymaga aneksu do Umowy.</w:t>
      </w:r>
    </w:p>
    <w:p>
      <w:pPr>
        <w:pStyle w:val="Normal"/>
        <w:numPr>
          <w:ilvl w:val="0"/>
          <w:numId w:val="6"/>
        </w:numPr>
        <w:tabs>
          <w:tab w:val="clear" w:pos="709"/>
          <w:tab w:val="left" w:pos="360" w:leader="none"/>
        </w:tabs>
        <w:spacing w:before="120" w:after="120"/>
        <w:ind w:left="360" w:hanging="3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 xml:space="preserve">Strony ustalają, że wszelkie informacje, uwagi związane z wykonywaniem Umowy, a kierowane do Zamawiającego, będą przekazywane Kierownikowi Zespołu Zamawiającego lub przesyłane na adres Zamawiającego. </w:t>
      </w:r>
    </w:p>
    <w:p>
      <w:pPr>
        <w:pStyle w:val="Normal"/>
        <w:spacing w:before="120" w:after="120"/>
        <w:ind w:firstLine="36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7</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ODBIÓR PRAC</w:t>
      </w:r>
    </w:p>
    <w:p>
      <w:pPr>
        <w:pStyle w:val="BodyText3"/>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Wykonanie każdego z Etapów realizacji Umowy, wymienionych w Planie Wdrożenia, zostanie potwierdzone protokołem podpisanym przez upoważnionych przedstawicieli obu Stron (</w:t>
      </w:r>
      <w:r>
        <w:rPr>
          <w:rFonts w:cs="Calibri" w:ascii="Calibri" w:hAnsi="Calibri" w:asciiTheme="minorHAnsi" w:cstheme="minorHAnsi" w:hAnsiTheme="minorHAnsi"/>
          <w:b/>
          <w:color w:val="000000"/>
          <w:sz w:val="18"/>
          <w:szCs w:val="18"/>
        </w:rPr>
        <w:t>Protokół Odbioru Etapu</w:t>
      </w:r>
      <w:r>
        <w:rPr>
          <w:rFonts w:cs="Calibri" w:ascii="Calibri" w:hAnsi="Calibri" w:asciiTheme="minorHAnsi" w:cstheme="minorHAnsi" w:hAnsiTheme="minorHAnsi"/>
          <w:color w:val="000000"/>
          <w:sz w:val="18"/>
          <w:szCs w:val="18"/>
        </w:rPr>
        <w:t xml:space="preserve">). </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Wykonanie wszystkich Etapów Umowy potwierdzone zostanie protokołem końcowym podpisanym przez upoważnionych przedstawicieli obu Stron (</w:t>
      </w:r>
      <w:r>
        <w:rPr>
          <w:rFonts w:cs="Calibri" w:ascii="Calibri" w:hAnsi="Calibri" w:asciiTheme="minorHAnsi" w:cstheme="minorHAnsi" w:hAnsiTheme="minorHAnsi"/>
          <w:b/>
          <w:color w:val="000000"/>
          <w:sz w:val="18"/>
          <w:szCs w:val="18"/>
        </w:rPr>
        <w:t>Protokół Odbioru Końcowego</w:t>
      </w:r>
      <w:r>
        <w:rPr>
          <w:rFonts w:cs="Calibri" w:ascii="Calibri" w:hAnsi="Calibri" w:asciiTheme="minorHAnsi" w:cstheme="minorHAnsi" w:hAnsiTheme="minorHAnsi"/>
          <w:color w:val="000000"/>
          <w:sz w:val="18"/>
          <w:szCs w:val="18"/>
        </w:rPr>
        <w:t xml:space="preserve">). Dla uniknięcia wątpliwości Strony potwierdzają, że rozpoczęcie przez Wykonawcę świadczenie usług Gwarancji nastąpi z chwilą podpisania Protokołu Odbioru Końcowego. </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 powiadomi Zamawiającego o gotowości do odbioru każdego Etapu z wyprzedzeniem jednego (1) dnia roboczego. Zamawiający jest zobowiązany do dokonania odbioru i podpisania Protokołu Odbioru Etapu/Odbioru Końcowego w terminie 3 (trzech) dni roboczych licząc od dnia zgłoszenia przez Wykonawcę gotowości do odbioru.</w:t>
      </w:r>
    </w:p>
    <w:p>
      <w:pPr>
        <w:pStyle w:val="Normal"/>
        <w:numPr>
          <w:ilvl w:val="0"/>
          <w:numId w:val="21"/>
        </w:numPr>
        <w:tabs>
          <w:tab w:val="clear" w:pos="709"/>
          <w:tab w:val="left" w:pos="1080" w:leader="none"/>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zgłoszenia zastrzeżeń przez Zamawiającego w trakcie odbioru Etapu lub Umowy, Wykonawca na swój koszt jest zobowiązany niezwłocznie usunąć ujawnione wady w wykonaniu Etapu lub Umowy, a jeżeli wady dotyczą Systemu medycznego wprowadzić niezbędne poprawki w terminie (7) dni roboczych od daty złożenia zastrzeżeń; jeżeli poprawki w Systemie medycznym w sposób istotny wpływają na jego funkcjonalność lub działanie, Wykonawca jest zobowiązany do ich wprowadzenia w terminie do dwudziestu jeden (21) dni roboczych od daty zgłoszenia zastrzeżeń. </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Warunkiem Odbioru Końcowego jest podpisanie przez Zamawiającego Protokołów Odbioru wszystkich Etapów określonych w Planie Wdrożenia.</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przypadku nie podpisania w terminie Protokołu Odbioru Etapu/Odbioru Końcowego przez Zamawiającego pomimo nie zgłoszenia zastrzeżeń lub zgłoszenia nieuzasadnionych zastrzeżeń, Wykonawca uprawniony jest do jednostronnego podpisania Protokołu Odbioru Etapu/Odbioru Końcowego, który rodzi takie same skutki co Protokół Odbioru Etapu/Odbioru Końcowego podpisany przez obie Strony.</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Odbiór przeprowadzany jest w siedzibie Zamawiającego, chyba że Strony uzgodnią  możliwość przeprowadzenia odbioru za pomocą zdalnego dostępu. </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Zamawiający gwarantuje, że Infrastruktura Sprzętowa będzie sprawna i umożliwi przeprowadzenie Wdrożenia oraz świadczenie usług Gwarancji. W przypadku ujawnienia wady lub innej niesprawności Infrastruktury Sprzętowej, Zamawiający zobowiązuje się do jej niezwłocznej naprawy lub wymiany na wolną od wad. </w:t>
      </w:r>
    </w:p>
    <w:p>
      <w:pPr>
        <w:pStyle w:val="Normal"/>
        <w:numPr>
          <w:ilvl w:val="0"/>
          <w:numId w:val="2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Wzór Protokołu Odbioru Etapu/Odbioru Końcowego zawiera Załącznik nr 2 do Umowy.</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8</w:t>
      </w:r>
    </w:p>
    <w:p>
      <w:pPr>
        <w:pStyle w:val="Normal"/>
        <w:keepNext w:val="tru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GWARANCJA, RĘKOJMIA</w:t>
      </w:r>
    </w:p>
    <w:p>
      <w:pPr>
        <w:pStyle w:val="Normal"/>
        <w:numPr>
          <w:ilvl w:val="0"/>
          <w:numId w:val="36"/>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Wykonawca udziela Zamawiającemu Gwarancji na okres </w:t>
      </w:r>
      <w:r>
        <w:rPr>
          <w:rFonts w:cs="Calibri" w:ascii="Calibri" w:hAnsi="Calibri" w:asciiTheme="minorHAnsi" w:cstheme="minorHAnsi" w:hAnsiTheme="minorHAnsi"/>
          <w:b/>
          <w:color w:val="000000"/>
          <w:sz w:val="18"/>
          <w:szCs w:val="18"/>
        </w:rPr>
        <w:t>dwu</w:t>
      </w:r>
      <w:r>
        <w:rPr>
          <w:rFonts w:cs="Calibri" w:ascii="Calibri" w:hAnsi="Calibri" w:asciiTheme="minorHAnsi" w:cstheme="minorHAnsi" w:hAnsiTheme="minorHAnsi"/>
          <w:b/>
          <w:color w:val="000000"/>
          <w:sz w:val="18"/>
          <w:szCs w:val="18"/>
        </w:rPr>
        <w:t>dziestu czterech</w:t>
      </w:r>
      <w:r>
        <w:rPr>
          <w:rFonts w:cs="Calibri" w:ascii="Calibri" w:hAnsi="Calibri" w:asciiTheme="minorHAnsi" w:cstheme="minorHAnsi" w:hAnsiTheme="minorHAnsi"/>
          <w:b/>
          <w:color w:val="000000"/>
          <w:sz w:val="18"/>
          <w:szCs w:val="18"/>
        </w:rPr>
        <w:t xml:space="preserve"> (</w:t>
      </w:r>
      <w:r>
        <w:rPr>
          <w:rFonts w:cs="Calibri" w:ascii="Calibri" w:hAnsi="Calibri" w:asciiTheme="minorHAnsi" w:cstheme="minorHAnsi" w:hAnsiTheme="minorHAnsi"/>
          <w:b/>
          <w:color w:val="000000"/>
          <w:sz w:val="18"/>
          <w:szCs w:val="18"/>
        </w:rPr>
        <w:t>24</w:t>
      </w:r>
      <w:r>
        <w:rPr>
          <w:rFonts w:cs="Calibri" w:ascii="Calibri" w:hAnsi="Calibri" w:asciiTheme="minorHAnsi" w:cstheme="minorHAnsi" w:hAnsiTheme="minorHAnsi"/>
          <w:b/>
          <w:color w:val="000000"/>
          <w:sz w:val="18"/>
          <w:szCs w:val="18"/>
        </w:rPr>
        <w:t>) miesięcy</w:t>
      </w:r>
      <w:r>
        <w:rPr>
          <w:rFonts w:cs="Calibri" w:ascii="Calibri" w:hAnsi="Calibri" w:asciiTheme="minorHAnsi" w:cstheme="minorHAnsi" w:hAnsiTheme="minorHAnsi"/>
          <w:color w:val="000000"/>
          <w:sz w:val="18"/>
          <w:szCs w:val="18"/>
        </w:rPr>
        <w:t>, liczonych od dnia podpisania przez Strony Protokołu Odbioru Końcowego.</w:t>
      </w:r>
    </w:p>
    <w:p>
      <w:pPr>
        <w:pStyle w:val="Normal"/>
        <w:numPr>
          <w:ilvl w:val="0"/>
          <w:numId w:val="36"/>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Szczegółowe warunki Gwarancji określa Załącznik nr 4 do niniejszej Umowy.</w:t>
      </w:r>
    </w:p>
    <w:p>
      <w:pPr>
        <w:pStyle w:val="Normal"/>
        <w:numPr>
          <w:ilvl w:val="0"/>
          <w:numId w:val="36"/>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Wykonawca zwolniony jest z obowiązku świadczenia Gwarancji w przypadku rozwiązania Licencji Systemu medycznego, o której mowa w § 2 ust. 4 Umowy w następstwie nie uiszczenia przez Zamawiającego wymaganej Opłaty Licencyjnej. </w:t>
      </w:r>
    </w:p>
    <w:p>
      <w:pPr>
        <w:pStyle w:val="Normal"/>
        <w:numPr>
          <w:ilvl w:val="0"/>
          <w:numId w:val="36"/>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Okres ustawowej rękojmi za wady jest równy okresowi Gwarancji. Postanowienia ust. 3 niniejszego paragrafu stosuje się odpowiednio.</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9</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ODPOWIEDZIALNOŚĆ, KARY UMOWNE</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 zobowiązuje się do zaspokojenia na swój koszt roszczeń osób trzecich, których zasadność została uznana prawomocnym wyrokiem sądu powszechnego lub ugodą zawartą za pisemną, pod rygorem nieważności, zgodą Wykonawcy, w wypadku naruszenia przez System medyczny praw z tytułu praw autorskich, praw pokrewnych, praw z rejestracji wzorów przemysłowych, użytkowych oraz praw ochronnych na znaki towarowe, które są przedmiotem Umowy. Wykonawca podejmie obronę Zamawiającego w przypadku złożenia jakiegokolwiek pozwu lub wszczęcia postępowania związanego z powyższym. W takim przypadku Zamawiający niezwłocznie udzieli Wykonawcy upoważnienia umożliwiającego Wykonawcy obronę Zamawiającego w takim postępowaniu, przez co należy rozumieć również, że Zamawiający będzie ściśle współpracował przy takiej obronie z Wykonawca do wykonania powyższych zobowiązań. W każdym przypadku, Zamawiający zobowiązany jest uzyskać zgodę Wykonawcy przed podjęciem jakiejkolwiek decyzji mającej wpływ pośrednio lub bezpośrednio na wizerunek Wykonawca lub wiążącej się z jakimikolwiek skutkami finansowymi dla Wykonawcy, pod rygorem wyłączenia odpowiedzialności Wykonawcy wobec Zamawiającego.</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Zamawiający może naliczyć Wykonawcy kary umowne określone w niniejszym paragrafie:</w:t>
      </w:r>
    </w:p>
    <w:p>
      <w:pPr>
        <w:pStyle w:val="Normal"/>
        <w:numPr>
          <w:ilvl w:val="0"/>
          <w:numId w:val="4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zwłoki Wykonawcy w wykonaniu Umowy w stosunku do terminu końcowego określonego w Planie Wdrożenia, Zamawiający może naliczyć Wykonawcy karę umowną w wysokości </w:t>
      </w:r>
      <w:r>
        <w:rPr>
          <w:rFonts w:cs="Calibri" w:ascii="Calibri" w:hAnsi="Calibri" w:asciiTheme="minorHAnsi" w:cstheme="minorHAnsi" w:hAnsiTheme="minorHAnsi"/>
          <w:b/>
          <w:color w:val="000000"/>
          <w:sz w:val="18"/>
          <w:szCs w:val="18"/>
        </w:rPr>
        <w:t>0,1 % (jedna dziesiąta procenta)</w:t>
      </w:r>
      <w:r>
        <w:rPr>
          <w:rFonts w:cs="Calibri" w:ascii="Calibri" w:hAnsi="Calibri" w:asciiTheme="minorHAnsi" w:cstheme="minorHAnsi" w:hAnsiTheme="minorHAnsi"/>
          <w:color w:val="000000"/>
          <w:sz w:val="18"/>
          <w:szCs w:val="18"/>
        </w:rPr>
        <w:t xml:space="preserve"> wynagrodzenia netto określonego w § 10 ust. 1 Umowy za każdy dzień zwłoki. </w:t>
      </w:r>
    </w:p>
    <w:p>
      <w:pPr>
        <w:pStyle w:val="Normal"/>
        <w:numPr>
          <w:ilvl w:val="0"/>
          <w:numId w:val="4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zwłoki Wykonawcy w wykonaniu Naprawy w ramach Gwarancji w stosunku do terminu określonego w  Załączniku nr 4 do Umowy, Zamawiający może naliczyć Wykonawcy karę umowną w wysokości </w:t>
      </w:r>
      <w:r>
        <w:rPr>
          <w:rFonts w:cs="Calibri" w:ascii="Calibri" w:hAnsi="Calibri" w:asciiTheme="minorHAnsi" w:cstheme="minorHAnsi" w:hAnsiTheme="minorHAnsi"/>
          <w:b/>
          <w:color w:val="000000"/>
          <w:sz w:val="18"/>
          <w:szCs w:val="18"/>
        </w:rPr>
        <w:t>50 PLN</w:t>
      </w:r>
      <w:r>
        <w:rPr>
          <w:rFonts w:cs="Calibri" w:ascii="Calibri" w:hAnsi="Calibri" w:asciiTheme="minorHAnsi" w:cstheme="minorHAnsi" w:hAnsiTheme="minorHAnsi"/>
          <w:color w:val="000000"/>
          <w:sz w:val="18"/>
          <w:szCs w:val="18"/>
        </w:rPr>
        <w:t xml:space="preserve">, za każdy dzień zwłoki. </w:t>
      </w:r>
    </w:p>
    <w:p>
      <w:pPr>
        <w:pStyle w:val="Normal"/>
        <w:numPr>
          <w:ilvl w:val="0"/>
          <w:numId w:val="41"/>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zwłoki Wykonawcy w wykonaniu Usługi </w:t>
      </w:r>
      <w:r>
        <w:rPr>
          <w:rFonts w:cs="Calibri" w:ascii="Calibri" w:hAnsi="Calibri" w:asciiTheme="minorHAnsi" w:cstheme="minorHAnsi" w:hAnsiTheme="minorHAnsi"/>
          <w:sz w:val="18"/>
          <w:szCs w:val="18"/>
        </w:rPr>
        <w:t>Subskrypcji</w:t>
      </w:r>
      <w:r>
        <w:rPr>
          <w:rFonts w:cs="Calibri" w:ascii="Calibri" w:hAnsi="Calibri" w:asciiTheme="minorHAnsi" w:cstheme="minorHAnsi" w:hAnsiTheme="minorHAnsi"/>
          <w:color w:val="000000"/>
          <w:sz w:val="18"/>
          <w:szCs w:val="18"/>
        </w:rPr>
        <w:t xml:space="preserve"> w ramach Gwarancji w stosunku do terminu określonego w Załączniku nr 4 do Umowy, Zamawiający może naliczyć Wykonawcy karę umowną w wysokości </w:t>
      </w:r>
      <w:r>
        <w:rPr>
          <w:rFonts w:cs="Calibri" w:ascii="Calibri" w:hAnsi="Calibri" w:asciiTheme="minorHAnsi" w:cstheme="minorHAnsi" w:hAnsiTheme="minorHAnsi"/>
          <w:b/>
          <w:color w:val="000000"/>
          <w:sz w:val="18"/>
          <w:szCs w:val="18"/>
        </w:rPr>
        <w:t>50 PLN</w:t>
      </w:r>
      <w:r>
        <w:rPr>
          <w:rFonts w:cs="Calibri" w:ascii="Calibri" w:hAnsi="Calibri" w:asciiTheme="minorHAnsi" w:cstheme="minorHAnsi" w:hAnsiTheme="minorHAnsi"/>
          <w:color w:val="000000"/>
          <w:sz w:val="18"/>
          <w:szCs w:val="18"/>
        </w:rPr>
        <w:t xml:space="preserve"> za każdy dzień zwłoki. </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Przed naliczeniem Wykonawcy kary umownej na podstawie Umowy, Zamawiający zobowiązany jest do wyznaczenia Wykonawcy odpowiedniego, dodatkowego terminu do wykonania, nie krótszego niż 7 dni roboczych, z zagrożeniem, iż w razie bezskutecznego upływu wyznaczonego terminu będzie uprawniony do żądania zapłaty kary umownej. Wezwanie wraz z wyznaczeniem terminu powinno być sporządzone w formie pisemnej pod rygorem nieważności.</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Łączna wysokość kar umownych naliczonych przez Zamawiającego na podstawie Umowy nie może przekroczyć 30% (trzydzieści procent) wynagrodzenia Wykonawcy, określonego w § 10 ust. 1 Umowy.</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gdy Zamawiający odstąpi od niniejszej Umowy z przyczyn niezależnych od Wykonawcy, Zamawiający zapłaci na żądanie Wykonawcy karę umowną w wysokości </w:t>
      </w:r>
      <w:r>
        <w:rPr>
          <w:rFonts w:cs="Calibri" w:ascii="Calibri" w:hAnsi="Calibri" w:asciiTheme="minorHAnsi" w:cstheme="minorHAnsi" w:hAnsiTheme="minorHAnsi"/>
          <w:b/>
          <w:color w:val="000000"/>
          <w:sz w:val="18"/>
          <w:szCs w:val="18"/>
        </w:rPr>
        <w:t>30% (trzydzieści procent)</w:t>
      </w:r>
      <w:r>
        <w:rPr>
          <w:rFonts w:cs="Calibri" w:ascii="Calibri" w:hAnsi="Calibri" w:asciiTheme="minorHAnsi" w:cstheme="minorHAnsi" w:hAnsiTheme="minorHAnsi"/>
          <w:color w:val="000000"/>
          <w:sz w:val="18"/>
          <w:szCs w:val="18"/>
        </w:rPr>
        <w:t xml:space="preserve"> wynagrodzenia określonego w § 10 ust. 1 Umowy. Wykonawca może dochodzić odszkodowania przewyższającego wysokość zastrzeżonej kary umownej.</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przypadku, gdy Wykonawca odstąpi od niniejszej Umowy z przyczyn niezależnych od Zamawiającego, Wykonawca zapłaci na żądanie Zamawiającego karę umowną w wysokości </w:t>
      </w:r>
      <w:r>
        <w:rPr>
          <w:rFonts w:cs="Calibri" w:ascii="Calibri" w:hAnsi="Calibri" w:asciiTheme="minorHAnsi" w:cstheme="minorHAnsi" w:hAnsiTheme="minorHAnsi"/>
          <w:b/>
          <w:color w:val="000000"/>
          <w:sz w:val="18"/>
          <w:szCs w:val="18"/>
        </w:rPr>
        <w:t>30% (trzydzieści procent)</w:t>
      </w:r>
      <w:r>
        <w:rPr>
          <w:rFonts w:cs="Calibri" w:ascii="Calibri" w:hAnsi="Calibri" w:asciiTheme="minorHAnsi" w:cstheme="minorHAnsi" w:hAnsiTheme="minorHAnsi"/>
          <w:color w:val="000000"/>
          <w:sz w:val="18"/>
          <w:szCs w:val="18"/>
        </w:rPr>
        <w:t xml:space="preserve"> wynagrodzenia określonego w § 10 ust. 1 Umowy. Zamawiający może dochodzić odszkodowania przewyższającego wysokość zastrzeżonej kary umownej. </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Wykonawca nie ponosi odpowiedzialności z tytułu utraconych korzyści. </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 nie ponosi odpowiedzialności za szkody polegające na utracie danych, kosztach związanych z ich odtworzeniem oraz niemożnością korzystania z danych utraconych przez Zamawiającego. Obowiązek sporządzenia kopii zapasowych, odtwarzania utraconych lub zmienionych plików, danych lub programów obciąża Zamawiającego. Ograniczenia odpowiedzialności obowiązują bez względu na rodzaj, charakter i przyczynę odpowiedzialności, chyba że szkoda powstała z winy Wykonawcy.</w:t>
      </w:r>
    </w:p>
    <w:p>
      <w:pPr>
        <w:pStyle w:val="Normal"/>
        <w:numPr>
          <w:ilvl w:val="0"/>
          <w:numId w:val="1"/>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 ponosi pełną i nieograniczoną odpowiedzialność w sytuacji, gdy odpowiedzialność taką przewidują bezwzględnie obowiązujące przepisy prawa. W pozostałych sytuacjach odpowiedzialność Wykonawcy, niezależnie od podstawy prawnej jej dochodzenia, ograniczona jest wyłącznie do strat rzeczywistych oraz do kwoty netto stanowiącej równowartość zapłaconego Wykonawcy wynagrodzenia na podstawie niniejszej Umowy.</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10</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WYNAGRODZENIE</w:t>
      </w:r>
    </w:p>
    <w:p>
      <w:pPr>
        <w:pStyle w:val="Normal"/>
        <w:numPr>
          <w:ilvl w:val="0"/>
          <w:numId w:val="7"/>
        </w:numPr>
        <w:tabs>
          <w:tab w:val="clear" w:pos="709"/>
          <w:tab w:val="left" w:pos="426" w:leader="none"/>
        </w:tabs>
        <w:spacing w:before="120" w:after="120"/>
        <w:ind w:left="426" w:hanging="426"/>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Zamawiający jest zobowiązany do zapłaty Wykonawcy wynagrodzenia za wykonanie Wdrożenia Systemu medycznego oraz udzielenie Zamawiającemu Licencji na korzystanie z Systemu medycznego (Opłata Licencyjna) w łącznej wysokości </w:t>
      </w:r>
      <w:r>
        <w:rPr>
          <w:rFonts w:cs="Calibri" w:ascii="Calibri" w:hAnsi="Calibri" w:asciiTheme="minorHAnsi" w:cstheme="minorHAnsi" w:hAnsiTheme="minorHAnsi"/>
          <w:b/>
          <w:color w:val="000000"/>
          <w:sz w:val="18"/>
          <w:szCs w:val="18"/>
          <w:highlight w:val="yellow"/>
        </w:rPr>
        <w:t>_______________</w:t>
      </w:r>
      <w:r>
        <w:rPr>
          <w:rFonts w:cs="Calibri" w:ascii="Calibri" w:hAnsi="Calibri" w:asciiTheme="minorHAnsi" w:cstheme="minorHAnsi" w:hAnsiTheme="minorHAnsi"/>
          <w:b/>
          <w:color w:val="000000"/>
          <w:sz w:val="18"/>
          <w:szCs w:val="18"/>
        </w:rPr>
        <w:t>,00 zł (</w:t>
      </w:r>
      <w:r>
        <w:rPr>
          <w:rFonts w:cs="Calibri" w:ascii="Calibri" w:hAnsi="Calibri" w:asciiTheme="minorHAnsi" w:cstheme="minorHAnsi" w:hAnsiTheme="minorHAnsi"/>
          <w:b/>
          <w:color w:val="000000"/>
          <w:sz w:val="18"/>
          <w:szCs w:val="18"/>
          <w:highlight w:val="yellow"/>
        </w:rPr>
        <w:t>______________________</w:t>
      </w:r>
      <w:r>
        <w:rPr>
          <w:rFonts w:cs="Calibri" w:ascii="Calibri" w:hAnsi="Calibri" w:asciiTheme="minorHAnsi" w:cstheme="minorHAnsi" w:hAnsiTheme="minorHAnsi"/>
          <w:b/>
          <w:color w:val="000000"/>
          <w:sz w:val="18"/>
          <w:szCs w:val="18"/>
        </w:rPr>
        <w:t xml:space="preserve"> złotych) netto</w:t>
      </w:r>
      <w:r>
        <w:rPr>
          <w:rFonts w:cs="Calibri" w:ascii="Calibri" w:hAnsi="Calibri" w:asciiTheme="minorHAnsi" w:cstheme="minorHAnsi" w:hAnsiTheme="minorHAnsi"/>
          <w:color w:val="000000"/>
          <w:sz w:val="18"/>
          <w:szCs w:val="18"/>
        </w:rPr>
        <w:t>, tj.:</w:t>
      </w:r>
    </w:p>
    <w:p>
      <w:pPr>
        <w:pStyle w:val="Normal"/>
        <w:numPr>
          <w:ilvl w:val="0"/>
          <w:numId w:val="16"/>
        </w:numPr>
        <w:spacing w:before="120" w:after="120"/>
        <w:ind w:left="723" w:hanging="297"/>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 tytułu wykonania Etapu 1 w wysokości </w:t>
      </w:r>
      <w:r>
        <w:rPr>
          <w:rFonts w:cs="Calibri" w:ascii="Calibri" w:hAnsi="Calibri" w:asciiTheme="minorHAnsi" w:cstheme="minorHAnsi" w:hAnsiTheme="minorHAnsi"/>
          <w:color w:val="000000"/>
          <w:sz w:val="18"/>
          <w:szCs w:val="18"/>
          <w:highlight w:val="yellow"/>
        </w:rPr>
        <w:t>__________</w:t>
      </w:r>
      <w:r>
        <w:rPr>
          <w:rFonts w:cs="Calibri" w:ascii="Calibri" w:hAnsi="Calibri" w:asciiTheme="minorHAnsi" w:cstheme="minorHAnsi" w:hAnsiTheme="minorHAnsi"/>
          <w:color w:val="000000"/>
          <w:sz w:val="18"/>
          <w:szCs w:val="18"/>
        </w:rPr>
        <w:t xml:space="preserve"> zł (</w:t>
      </w:r>
      <w:r>
        <w:rPr>
          <w:rFonts w:cs="Calibri" w:ascii="Calibri" w:hAnsi="Calibri" w:asciiTheme="minorHAnsi" w:cstheme="minorHAnsi" w:hAnsiTheme="minorHAnsi"/>
          <w:color w:val="000000"/>
          <w:sz w:val="18"/>
          <w:szCs w:val="18"/>
          <w:highlight w:val="yellow"/>
        </w:rPr>
        <w:t>_________________________</w:t>
      </w:r>
      <w:r>
        <w:rPr>
          <w:rFonts w:cs="Calibri" w:ascii="Calibri" w:hAnsi="Calibri" w:asciiTheme="minorHAnsi" w:cstheme="minorHAnsi" w:hAnsiTheme="minorHAnsi"/>
          <w:color w:val="000000"/>
          <w:sz w:val="18"/>
          <w:szCs w:val="18"/>
        </w:rPr>
        <w:t xml:space="preserve"> złotych) netto, w tym Opłata Licencyjna w wysokości </w:t>
      </w:r>
      <w:r>
        <w:rPr>
          <w:rFonts w:cs="Calibri" w:ascii="Calibri" w:hAnsi="Calibri" w:asciiTheme="minorHAnsi" w:cstheme="minorHAnsi" w:hAnsiTheme="minorHAnsi"/>
          <w:color w:val="000000"/>
          <w:sz w:val="18"/>
          <w:szCs w:val="18"/>
          <w:highlight w:val="yellow"/>
        </w:rPr>
        <w:t>__________</w:t>
      </w:r>
      <w:r>
        <w:rPr>
          <w:rFonts w:cs="Calibri" w:ascii="Calibri" w:hAnsi="Calibri" w:asciiTheme="minorHAnsi" w:cstheme="minorHAnsi" w:hAnsiTheme="minorHAnsi"/>
          <w:color w:val="000000"/>
          <w:sz w:val="18"/>
          <w:szCs w:val="18"/>
        </w:rPr>
        <w:t xml:space="preserve"> zł (</w:t>
      </w:r>
      <w:r>
        <w:rPr>
          <w:rFonts w:cs="Calibri" w:ascii="Calibri" w:hAnsi="Calibri" w:asciiTheme="minorHAnsi" w:cstheme="minorHAnsi" w:hAnsiTheme="minorHAnsi"/>
          <w:color w:val="000000"/>
          <w:sz w:val="18"/>
          <w:szCs w:val="18"/>
          <w:highlight w:val="yellow"/>
        </w:rPr>
        <w:t>_________________________</w:t>
      </w:r>
      <w:r>
        <w:rPr>
          <w:rFonts w:cs="Calibri" w:ascii="Calibri" w:hAnsi="Calibri" w:asciiTheme="minorHAnsi" w:cstheme="minorHAnsi" w:hAnsiTheme="minorHAnsi"/>
          <w:color w:val="000000"/>
          <w:sz w:val="18"/>
          <w:szCs w:val="18"/>
        </w:rPr>
        <w:t xml:space="preserve"> złotych) netto.</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Wykonawca zobowiązany jest do wystawienia faktur VAT zgodnie z przepisami prawa podatkowego: </w:t>
      </w:r>
    </w:p>
    <w:p>
      <w:pPr>
        <w:pStyle w:val="Normal"/>
        <w:numPr>
          <w:ilvl w:val="1"/>
          <w:numId w:val="7"/>
        </w:numPr>
        <w:tabs>
          <w:tab w:val="left" w:pos="709" w:leader="none"/>
        </w:tabs>
        <w:spacing w:before="120" w:after="120"/>
        <w:ind w:left="709" w:hanging="283"/>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 tytułu, o którym mowa ust. 1 pkt a) powyżej (Etap 1), na podstawie podpisanego Protokołu Odbioru Etapu 1;</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Wszystkie wskazane w Umowie kwoty są kwotami netto i zostaną powiększone o należny podatek od towarów i usług</w:t>
      </w:r>
      <w:r>
        <w:rPr>
          <w:rFonts w:cs="Calibri" w:ascii="Calibri" w:hAnsi="Calibri" w:asciiTheme="minorHAnsi" w:cstheme="minorHAnsi" w:hAnsiTheme="minorHAnsi"/>
          <w:b/>
          <w:color w:val="000000"/>
          <w:sz w:val="18"/>
          <w:szCs w:val="18"/>
        </w:rPr>
        <w:t>.</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Termin płatności każdej faktury VAT wynosi czternaście (14) dni od dnia jej doręczenia Zamawiającemu.</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Wszystkie faktury VAT wynikające z niniejszej umowy wykonawca dostarczy zamawiającemu do dnia 22.08.2023 r.</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Płatność nastąpi każdorazowo przelewem na konto wskazane w fakturze VAT.</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Przez zapłatę rozumie się zaksięgowanie środków pieniężnych na rachunku bankowym Wykonawcy.</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Strony oświadczają, że są płatnikami podatku od towarów i usług VAT oraz są zarejestrowane pod numerami NIP:</w:t>
      </w:r>
    </w:p>
    <w:p>
      <w:pPr>
        <w:pStyle w:val="Normal"/>
        <w:numPr>
          <w:ilvl w:val="0"/>
          <w:numId w:val="15"/>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w:t>
      </w:r>
      <w:r>
        <w:rPr>
          <w:rFonts w:cs="Calibri" w:ascii="Calibri" w:hAnsi="Calibri" w:asciiTheme="minorHAnsi" w:cstheme="minorHAnsi" w:hAnsiTheme="minorHAnsi"/>
          <w:bCs/>
          <w:color w:val="000000"/>
          <w:spacing w:val="-3"/>
          <w:sz w:val="18"/>
          <w:szCs w:val="18"/>
        </w:rPr>
        <w:t xml:space="preserve"> </w:t>
      </w:r>
      <w:r>
        <w:rPr>
          <w:rFonts w:cs="Calibri" w:ascii="Calibri" w:hAnsi="Calibri" w:asciiTheme="minorHAnsi" w:cstheme="minorHAnsi" w:hAnsiTheme="minorHAnsi"/>
          <w:bCs/>
          <w:color w:val="000000"/>
          <w:sz w:val="18"/>
          <w:szCs w:val="18"/>
          <w:highlight w:val="yellow"/>
        </w:rPr>
        <w:t>________________</w:t>
      </w:r>
      <w:r>
        <w:rPr>
          <w:rFonts w:cs="Calibri" w:ascii="Calibri" w:hAnsi="Calibri" w:asciiTheme="minorHAnsi" w:cstheme="minorHAnsi" w:hAnsiTheme="minorHAnsi"/>
          <w:color w:val="000000"/>
          <w:sz w:val="18"/>
          <w:szCs w:val="18"/>
        </w:rPr>
        <w:t>,</w:t>
      </w:r>
    </w:p>
    <w:p>
      <w:pPr>
        <w:pStyle w:val="Normal"/>
        <w:numPr>
          <w:ilvl w:val="0"/>
          <w:numId w:val="15"/>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Zamawiający: </w:t>
      </w:r>
      <w:r>
        <w:rPr>
          <w:rFonts w:cs="Calibri" w:ascii="Calibri" w:hAnsi="Calibri" w:asciiTheme="minorHAnsi" w:cstheme="minorHAnsi" w:hAnsiTheme="minorHAnsi"/>
          <w:bCs/>
          <w:color w:val="000000"/>
          <w:sz w:val="18"/>
          <w:szCs w:val="18"/>
          <w:highlight w:val="yellow"/>
        </w:rPr>
        <w:t>________________</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przypadku opóźnienia Zamawiającego w płatności części lub całości wynagrodzenia określonego w ust. 1 powyżej, Wykonawca może naliczyć odsetki ustawowe za opóźnienie.</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Strony postanawiają, że jeżeli w toku wykonywania Umowy pojawią się jakiekolwiek czynności nie objęte niniejszą Umową, co do których nie zostanie ustalone wynagrodzenie, podstawą ich rozliczenia będzie stawka godzinowa wynosząca 200,00 zł (dwieście złotych, 00/100) netto za każdą rozpoczętą godzinę pracy Wykonawcy (roboczogodzina), z terminem płatności czternaście (14) dni od doręczenia faktury VAT.  Wynagrodzenie wskazane </w:t>
        <w:br/>
        <w:t xml:space="preserve">w ust. 1 nie obejmuje wynagrodzenia określonego w niniejszym ustępie. Każdorazowo czynności, o których mowa powyżej muszą uzyskać akceptację Wykonawcy i Zamawiającego przed ich rozpoczęciem. </w:t>
      </w:r>
    </w:p>
    <w:p>
      <w:pPr>
        <w:pStyle w:val="Normal"/>
        <w:numPr>
          <w:ilvl w:val="0"/>
          <w:numId w:val="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Strony zgodnie postanawiają, że Zamawiający zobowiązany jest zwrócić Wykonawcy wszelkie koszty związane z zapewnieniem współpracy lub wsparcia producenta lub autoryzowanego przedstawiciela producenta oprogramowania osób trzecich, z którego korzysta Zamawiającego dla przeprowadzenia przez Wykonawcę określonej w Umowie integracji Systemu medycznego z tym oprogramowaniem. Wynagrodzenie wskazane w ust. 1 nie obejmuje kosztów poniesionych przez Wykonawcę, wskazanych w niniejszym ustępie.  Zamawiający zobowiązany jest zwrócić Wykonawcy poniesione koszty na podstawie faktury VAT (refaktury), nie później niż w terminie czternastu (14) dni od dnia doręczenia jej Zamawiającemu.</w:t>
      </w:r>
    </w:p>
    <w:p>
      <w:pPr>
        <w:pStyle w:val="Normal"/>
        <w:numPr>
          <w:ilvl w:val="0"/>
          <w:numId w:val="7"/>
        </w:numPr>
        <w:tabs>
          <w:tab w:val="clear" w:pos="709"/>
          <w:tab w:val="left" w:pos="426" w:leader="none"/>
        </w:tabs>
        <w:suppressAutoHyphens w:val="true"/>
        <w:spacing w:before="120" w:after="120"/>
        <w:ind w:left="284" w:hanging="3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Wykonawca oświadcza, że posiada status dużego przedsiębiorcy w rozumieniu ustawy z dnia 08.03.2013 r. o przeciwdziałaniu nadmiernym opóźnieniom w transakcjach handlowych.</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11</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POUFNOŚĆ</w:t>
      </w:r>
    </w:p>
    <w:p>
      <w:pPr>
        <w:pStyle w:val="Normal"/>
        <w:numPr>
          <w:ilvl w:val="2"/>
          <w:numId w:val="17"/>
        </w:numPr>
        <w:tabs>
          <w:tab w:val="clear" w:pos="709"/>
          <w:tab w:val="left" w:pos="360" w:leader="none"/>
        </w:tabs>
        <w:spacing w:before="120" w:after="120"/>
        <w:ind w:left="1980" w:hanging="198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Strony zobowiązują się:</w:t>
      </w:r>
    </w:p>
    <w:p>
      <w:pPr>
        <w:pStyle w:val="Normal"/>
        <w:numPr>
          <w:ilvl w:val="3"/>
          <w:numId w:val="17"/>
        </w:numPr>
        <w:tabs>
          <w:tab w:val="clear" w:pos="709"/>
          <w:tab w:val="left" w:pos="360" w:leader="none"/>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zachować w ścisłej tajemnicy wszelkie informacje techniczne, technologiczne, ekonomiczne, finansowe, handlowe, prawne i organizacyjne dotyczące drugiej Strony, niezależnie od formy przekazania tych informacji i ich źródła, w tym dotyczących Systemu medycznego oraz danych osobowych administrowanych przez Zamawiającego,</w:t>
      </w:r>
    </w:p>
    <w:p>
      <w:pPr>
        <w:pStyle w:val="Normal"/>
        <w:numPr>
          <w:ilvl w:val="3"/>
          <w:numId w:val="17"/>
        </w:numPr>
        <w:tabs>
          <w:tab w:val="clear" w:pos="709"/>
          <w:tab w:val="left" w:pos="720" w:leader="none"/>
          <w:tab w:val="left" w:pos="1440" w:leader="none"/>
        </w:tabs>
        <w:spacing w:before="120" w:after="120"/>
        <w:ind w:left="720" w:hanging="34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nie kopiować, nie powielać ani w jakikolwiek sposób nie rozpowszechniać jakiejkolwiek części określonych w pkt a informacji dla innych celów niż wynikają z niniejszej Umowy,</w:t>
      </w:r>
    </w:p>
    <w:p>
      <w:pPr>
        <w:pStyle w:val="Normal"/>
        <w:numPr>
          <w:ilvl w:val="3"/>
          <w:numId w:val="17"/>
        </w:numPr>
        <w:tabs>
          <w:tab w:val="clear" w:pos="709"/>
          <w:tab w:val="left" w:pos="720" w:leader="none"/>
          <w:tab w:val="left" w:pos="1440" w:leader="none"/>
        </w:tabs>
        <w:spacing w:before="120" w:after="120"/>
        <w:ind w:left="720" w:hanging="34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podjąć stosowne przedsięwzięcia niezbędne do zapewnienia ochrony informacji i ich źródła zarówno w całości, jak i poszczególnych kwestii.</w:t>
      </w:r>
    </w:p>
    <w:p>
      <w:pPr>
        <w:pStyle w:val="Normal"/>
        <w:numPr>
          <w:ilvl w:val="2"/>
          <w:numId w:val="17"/>
        </w:numPr>
        <w:tabs>
          <w:tab w:val="clear" w:pos="709"/>
          <w:tab w:val="left" w:pos="360" w:leader="none"/>
          <w:tab w:val="center" w:pos="54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Postanowienia w ust. 1 powyżej nie będą miały zastosowania w stosunku do tych informacji uzyskanych od każdej ze Stron, które:</w:t>
      </w:r>
    </w:p>
    <w:p>
      <w:pPr>
        <w:pStyle w:val="Normal"/>
        <w:numPr>
          <w:ilvl w:val="0"/>
          <w:numId w:val="18"/>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są opublikowane, znane i urzędowo podane do publicznej wiadomości bez naruszania postanowień niniejszej Umowy,</w:t>
      </w:r>
    </w:p>
    <w:p>
      <w:pPr>
        <w:pStyle w:val="Normal"/>
        <w:numPr>
          <w:ilvl w:val="0"/>
          <w:numId w:val="18"/>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są powszechnie znane lub zostały przekazane przez osobę trzecią, bez naruszenia jakichkolwiek zobowiązań o ich nieujawnianiu,</w:t>
      </w:r>
    </w:p>
    <w:p>
      <w:pPr>
        <w:pStyle w:val="Normal"/>
        <w:numPr>
          <w:ilvl w:val="0"/>
          <w:numId w:val="18"/>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zostały ujawnione organom rządowym, administracyjnym, sądowym lub do publicznej wiadomości </w:t>
        <w:br/>
        <w:t>z uwagi na decyzje lub wymogi prawne.</w:t>
      </w:r>
    </w:p>
    <w:p>
      <w:pPr>
        <w:pStyle w:val="Normal"/>
        <w:numPr>
          <w:ilvl w:val="2"/>
          <w:numId w:val="1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Klauzula o zachowaniu poufności przekazywanych informacji wiąże każdą ze Stron przez czas obowiązywania Umowy, w tym Licencji, a w zakresie danych osobowych administrowanych przez Zamawiającego przez czas nieokreślony.</w:t>
      </w:r>
    </w:p>
    <w:p>
      <w:pPr>
        <w:pStyle w:val="Normal"/>
        <w:numPr>
          <w:ilvl w:val="2"/>
          <w:numId w:val="17"/>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Wykonawca zastrzega sobie prawo udostępniania osobom trzecim w celach reklamowych informacji o fakcie zawarcia i przedmiocie Umowy.</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12</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DANE OSOBOWE</w:t>
      </w:r>
    </w:p>
    <w:p>
      <w:pPr>
        <w:pStyle w:val="ListParagraph"/>
        <w:numPr>
          <w:ilvl w:val="1"/>
          <w:numId w:val="18"/>
        </w:numPr>
        <w:tabs>
          <w:tab w:val="clear" w:pos="709"/>
          <w:tab w:val="left" w:pos="1134" w:leader="none"/>
        </w:tabs>
        <w:spacing w:before="120" w:after="120"/>
        <w:ind w:left="426" w:hanging="360"/>
        <w:contextualSpacing/>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Zamawiający powierza Wykonawcy przetwarzanie danych osobowych w związku z zawartą Umową na warunkach określonych w Załączniku nr 7 i 8 do Umowy.</w:t>
      </w:r>
    </w:p>
    <w:p>
      <w:pPr>
        <w:pStyle w:val="Tretekstu"/>
        <w:numPr>
          <w:ilvl w:val="1"/>
          <w:numId w:val="18"/>
        </w:numPr>
        <w:tabs>
          <w:tab w:val="clear" w:pos="709"/>
          <w:tab w:val="left" w:pos="1134" w:leader="none"/>
        </w:tabs>
        <w:suppressAutoHyphens w:val="true"/>
        <w:spacing w:before="120" w:after="120"/>
        <w:ind w:left="426" w:hanging="3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Wykonawca oświadcza, że jest Administratorem danych osobowych pozyskanych od Zamawiającego w związku z podpisaną Umową. W związku z zawarciem umowy w ramach prowadzonej działalności, Wykonawca pozyskuje od Zamawiającego jego dane osobowe oraz dane osób zaangażowanych w realizację umowy (np. osób uprawnionych do kontaktu, wykonujących zlecenia itp.). Zakres przekazywanych danych jest w każdym wypadku ograniczony do stopnia niezbędnego dla wykonania umowy i zazwyczaj nie obejmuje innych informacji niż imię i nazwisko oraz służbowe dane kontaktowe. Na warunkach określonych w ogólnym rozporządzeniu o ochronie danych można skorzystać z prawa dostępu do danych oraz otrzymania ich kopii, sprostowania (poprawiania) danych osobowych, ograniczenia przetwarzania danych osobowych, usunięcia danych osobowych, przenoszenia danych, sprzeciwu oraz wniesienia skargi do organu nadzorczego. Szczegółowe informacje na temat przetwarzania przez Wykonawcę danych osobowych znajdują się na stronie </w:t>
      </w:r>
      <w:r>
        <w:rPr>
          <w:rFonts w:cs="Calibri" w:ascii="Calibri" w:hAnsi="Calibri" w:asciiTheme="minorHAnsi" w:cstheme="minorHAnsi" w:hAnsiTheme="minorHAnsi"/>
          <w:sz w:val="18"/>
          <w:szCs w:val="18"/>
          <w:highlight w:val="yellow"/>
        </w:rPr>
        <w:t>_________</w:t>
      </w:r>
    </w:p>
    <w:p>
      <w:pPr>
        <w:pStyle w:val="Normal"/>
        <w:keepNext w:val="tru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13</w:t>
      </w:r>
    </w:p>
    <w:p>
      <w:pPr>
        <w:pStyle w:val="Normal"/>
        <w:keepNext w:val="tru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SIŁA WYŻSZA</w:t>
      </w:r>
    </w:p>
    <w:p>
      <w:pPr>
        <w:pStyle w:val="Normal"/>
        <w:numPr>
          <w:ilvl w:val="0"/>
          <w:numId w:val="19"/>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Żadna ze Stron niniejszej Umowy nie będzie ponosiła odpowiedzialności za niewykonanie lub nienależyte wykonanie swoich obowiązków umownych w przypadku wystąpienia siły wyższej.</w:t>
      </w:r>
    </w:p>
    <w:p>
      <w:pPr>
        <w:pStyle w:val="Normal"/>
        <w:numPr>
          <w:ilvl w:val="0"/>
          <w:numId w:val="19"/>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w:t>
      </w:r>
    </w:p>
    <w:p>
      <w:pPr>
        <w:pStyle w:val="Normal"/>
        <w:numPr>
          <w:ilvl w:val="1"/>
          <w:numId w:val="2"/>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wojnę,</w:t>
      </w:r>
    </w:p>
    <w:p>
      <w:pPr>
        <w:pStyle w:val="Normal"/>
        <w:numPr>
          <w:ilvl w:val="1"/>
          <w:numId w:val="2"/>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epidemię,</w:t>
      </w:r>
    </w:p>
    <w:p>
      <w:pPr>
        <w:pStyle w:val="Normal"/>
        <w:numPr>
          <w:ilvl w:val="1"/>
          <w:numId w:val="2"/>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kataklizm naturalny jak trzęsienie ziemi, pożar, powódź lub inne działania sił przyrody,</w:t>
      </w:r>
    </w:p>
    <w:p>
      <w:pPr>
        <w:pStyle w:val="Normal"/>
        <w:numPr>
          <w:ilvl w:val="1"/>
          <w:numId w:val="2"/>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strajk pracowników,</w:t>
      </w:r>
    </w:p>
    <w:p>
      <w:pPr>
        <w:pStyle w:val="Normal"/>
        <w:numPr>
          <w:ilvl w:val="1"/>
          <w:numId w:val="2"/>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awaria lub inne zakłócenia w działaniu sieci telekomunikacyjnej lub teleinformatycznej,</w:t>
      </w:r>
    </w:p>
    <w:p>
      <w:pPr>
        <w:pStyle w:val="Normal"/>
        <w:numPr>
          <w:ilvl w:val="1"/>
          <w:numId w:val="2"/>
        </w:numPr>
        <w:tabs>
          <w:tab w:val="clear" w:pos="709"/>
          <w:tab w:val="left" w:pos="720" w:leader="none"/>
        </w:tabs>
        <w:spacing w:before="120" w:after="120"/>
        <w:ind w:left="72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działania podmiotów mających wpływ na wykonanie Umowy, a których działalność jest niezależna od Stron.</w:t>
      </w:r>
    </w:p>
    <w:p>
      <w:pPr>
        <w:pStyle w:val="Normal"/>
        <w:numPr>
          <w:ilvl w:val="0"/>
          <w:numId w:val="19"/>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przypadku wystąpienia okoliczności siły wyższej Strona nią dotknięta jest zobowiązana do niezwłocznego powiadomienia o tym fakcie drugiej Strony, nie później jednak niż 7 dni od dnia jej wystąpienia, jeżeli jest to możliwe.</w:t>
      </w:r>
    </w:p>
    <w:p>
      <w:pPr>
        <w:pStyle w:val="Normal"/>
        <w:numPr>
          <w:ilvl w:val="0"/>
          <w:numId w:val="19"/>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 chwilą wystąpienia okoliczności określonych w ust. 2 pkt d), e) lub f) Strony deklarują gotowość kontynuowania współpracy w zakresie ustalonym niniejszą Umową oraz odrębnymi porozumieniami, chyba że jest to niemożliwe.</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14</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ZAWIADOMIENIA</w:t>
      </w:r>
    </w:p>
    <w:p>
      <w:pPr>
        <w:pStyle w:val="Normal"/>
        <w:numPr>
          <w:ilvl w:val="0"/>
          <w:numId w:val="3"/>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Wszelkie ewentualne zawiadomienia pomiędzy Stronami wynikające z przepisów prawa lub postanowień Umowy będą miały formę pisemną i dostarczane będą drugiej Stronie osobiście za potwierdzeniem odbioru, faksem lub drogą elektroniczną, a następnie listem poleconym za potwierdzeniem odbioru, chyba że Umowa stanowi inaczej.</w:t>
      </w:r>
    </w:p>
    <w:p>
      <w:pPr>
        <w:pStyle w:val="Normal"/>
        <w:numPr>
          <w:ilvl w:val="0"/>
          <w:numId w:val="3"/>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Osobami odpowiedzialnymi za przebieg realizacji Umowy są:</w:t>
      </w:r>
    </w:p>
    <w:p>
      <w:pPr>
        <w:pStyle w:val="Normal"/>
        <w:numPr>
          <w:ilvl w:val="0"/>
          <w:numId w:val="23"/>
        </w:numPr>
        <w:tabs>
          <w:tab w:val="clear" w:pos="709"/>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Kierownik Zespołu Wdrożeniowego Wykonawcy: imię i nazwisko, tel, e-mail;</w:t>
      </w:r>
    </w:p>
    <w:p>
      <w:pPr>
        <w:pStyle w:val="Normal"/>
        <w:numPr>
          <w:ilvl w:val="0"/>
          <w:numId w:val="23"/>
        </w:numPr>
        <w:tabs>
          <w:tab w:val="clear" w:pos="709"/>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Kierownik Zespołu Wdrożeniowego Zamawiającego: imię i nazwisko, tel, e-mail.</w:t>
      </w:r>
    </w:p>
    <w:p>
      <w:pPr>
        <w:pStyle w:val="Normal"/>
        <w:numPr>
          <w:ilvl w:val="0"/>
          <w:numId w:val="3"/>
        </w:numPr>
        <w:tabs>
          <w:tab w:val="clear" w:pos="709"/>
          <w:tab w:val="left" w:pos="360" w:leader="none"/>
        </w:tabs>
        <w:spacing w:before="120" w:after="120"/>
        <w:ind w:left="360" w:hanging="3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 xml:space="preserve">Osoby wskazane w ust. 2 powyżej są upoważnione do składania w imieniu reprezentowanego podmiotu wiążących oświadczeń niezbędnych do wykonania przedmiotu Umowy zgodnie z jej zapisami, a w szczególności z Planem Wdrożenia i Specyfikacją oraz do podpisywania w imieniu reprezentowanego podmiotu Protokołów Odbioru Etapów/Odbioru Końcowego. </w:t>
      </w:r>
    </w:p>
    <w:p>
      <w:pPr>
        <w:pStyle w:val="Normal"/>
        <w:numPr>
          <w:ilvl w:val="0"/>
          <w:numId w:val="3"/>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Zmiana osób wskazanych powyżej wymaga powiadomienia drugiej Strony w formie pisemnej i nie wymaga zmiany Umowy.</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15</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POSTANOWIENIA KOŃCOWE</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W celu wykonania przedmiotu Umowy, Wykonawca może posługiwać się osobami trzecimi (podwykonawcami), </w:t>
        <w:br/>
        <w:t xml:space="preserve">pod warunkiem: </w:t>
      </w:r>
    </w:p>
    <w:p>
      <w:pPr>
        <w:pStyle w:val="Normal"/>
        <w:numPr>
          <w:ilvl w:val="0"/>
          <w:numId w:val="4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wyrażenia przez Zamawiającego zgody na podwykonawcę wskazanego przez Wykonawcę;</w:t>
      </w:r>
    </w:p>
    <w:p>
      <w:pPr>
        <w:pStyle w:val="Normal"/>
        <w:numPr>
          <w:ilvl w:val="0"/>
          <w:numId w:val="4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podpisania przez podwykonawcę z Zamawiającym umowy na powierzenie przetwarzania danych osobowych, chyba że powierzenie podwykonawcy tych danych dla celów określonych w niniejszej Umowie nie będzie konieczne.</w:t>
      </w:r>
    </w:p>
    <w:p>
      <w:pPr>
        <w:pStyle w:val="Normal"/>
        <w:spacing w:before="120" w:after="120"/>
        <w:ind w:left="360" w:hanging="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Za działania i zaniechania podwykonawcy, Wykonawca odpowiada wobec Zamawiającego jak za własne działania </w:t>
        <w:br/>
        <w:t xml:space="preserve">i zaniechania. </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Strony oświadczają, iż Umowa zawiera wszelkie uzgodnienia pomiędzy nimi zawarte w sprawach będących jej przedmiotem i zastępuje wszystkie wcześniejsze porozumienia oraz ustalenia pisemne i ustne.</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Umowa wchodzi w życie z dniem jej podpisania przez upoważnionych przedstawicieli obu Stron.</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Wszelkie zmiany Umowy wymagają dla swej ważności formy pisemnej pod rygorem nieważności i dokonywane będą wyłącznie przez uprawomocnionych przedstawicieli Stron.</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Jakiekolwiek spory powstałe w związku z interpretacją lub wykonaniem niniejszej Umowy rozstrzygał będzie sąd powszechny właściwy dla siedziby Wykonawcy.</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We wszelkich sprawach nieuregulowanych niniejszą Umową mają zastosowanie odpowiednie przepisy prawa polskiego, a w szczególności Kodeksu cywilnego oraz Ustawy o prawie autorskim i prawach pokrewnych.</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Umowę niniejszą sporządzono w dwóch (2) jednobrzmiących egzemplarzach, po jednym (1) dla każdej ze Stron.</w:t>
      </w:r>
    </w:p>
    <w:p>
      <w:pPr>
        <w:pStyle w:val="Normal"/>
        <w:numPr>
          <w:ilvl w:val="0"/>
          <w:numId w:val="4"/>
        </w:numPr>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Załączniki do niniejszej Umowy stanowią jej integralną część. Spis załączników:</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1 – Plan Wdrożenia.</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2 – Wzór Protokołu Odbioru Etapu/Odbioru Końcowego.</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3 – Licencja Systemu medycznego.</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4 – Gwarancja.</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5 – Specyfikacja.</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6 – Infrastruktura Sprzętowa.</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7 - Umowa powierzenia przetwarzania danych osobowych</w:t>
      </w:r>
    </w:p>
    <w:p>
      <w:pPr>
        <w:pStyle w:val="Normal"/>
        <w:numPr>
          <w:ilvl w:val="0"/>
          <w:numId w:val="14"/>
        </w:numPr>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Załącznik nr 8 – Zbiór danych osobowych</w:t>
      </w:r>
    </w:p>
    <w:p>
      <w:pPr>
        <w:pStyle w:val="Normal"/>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WYKONAWCA </w:t>
        <w:tab/>
        <w:tab/>
        <w:tab/>
        <w:tab/>
        <w:tab/>
        <w:tab/>
        <w:tab/>
        <w:t>ZAMAWIAJĄCY</w:t>
      </w:r>
      <w:r>
        <w:br w:type="page"/>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ZAŁĄCZNIK NR 1</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Normal"/>
        <w:spacing w:before="120" w:after="120"/>
        <w:jc w:val="center"/>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PLAN WDROŻENIA</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76"/>
        <w:gridCol w:w="4261"/>
        <w:gridCol w:w="1821"/>
        <w:gridCol w:w="2101"/>
      </w:tblGrid>
      <w:tr>
        <w:trPr/>
        <w:tc>
          <w:tcPr>
            <w:tcW w:w="876"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Etap</w:t>
            </w:r>
          </w:p>
        </w:tc>
        <w:tc>
          <w:tcPr>
            <w:tcW w:w="4261"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Zakres Etapu</w:t>
            </w:r>
          </w:p>
        </w:tc>
        <w:tc>
          <w:tcPr>
            <w:tcW w:w="1821"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Termin realizacji</w:t>
            </w:r>
          </w:p>
        </w:tc>
        <w:tc>
          <w:tcPr>
            <w:tcW w:w="2101"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Wynagrodzenie (netto)</w:t>
            </w:r>
          </w:p>
        </w:tc>
      </w:tr>
      <w:tr>
        <w:trPr>
          <w:trHeight w:val="1215" w:hRule="atLeast"/>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Etap 1</w:t>
            </w:r>
          </w:p>
        </w:tc>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left="9" w:hanging="9"/>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Przygotowanie przez Zamawiającego i przekazanie Wykonawcy wymaganych danych do konfiguracji Systemu medycznego.</w:t>
            </w:r>
          </w:p>
        </w:tc>
        <w:tc>
          <w:tcPr>
            <w:tcW w:w="1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highlight w:val="yellow"/>
              </w:rPr>
              <w:t>____________</w:t>
            </w:r>
          </w:p>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tc>
      </w:tr>
      <w:tr>
        <w:trPr>
          <w:trHeight w:val="1215" w:hRule="atLeast"/>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c>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left="9" w:hanging="9"/>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Zapewnienie przez Zamawiającego Infrastruktury Sprzętowej w tym jej właściwej konfiguracji zgodnie z wytycznymi Wykonawcy.</w:t>
            </w:r>
          </w:p>
        </w:tc>
        <w:tc>
          <w:tcPr>
            <w:tcW w:w="1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highlight w:val="yellow"/>
              </w:rPr>
              <w:t>____________</w:t>
            </w:r>
          </w:p>
          <w:p>
            <w:pPr>
              <w:pStyle w:val="Normal"/>
              <w:widowControl w:val="false"/>
              <w:spacing w:before="120" w:after="120"/>
              <w:jc w:val="center"/>
              <w:rPr>
                <w:rFonts w:ascii="Calibri" w:hAnsi="Calibri" w:cs="Calibri" w:asciiTheme="minorHAnsi" w:cstheme="minorHAnsi" w:hAnsiTheme="minorHAnsi"/>
                <w:b/>
                <w:color w:val="000000"/>
                <w:sz w:val="18"/>
                <w:szCs w:val="18"/>
                <w:highlight w:val="yellow"/>
              </w:rPr>
            </w:pPr>
            <w:r>
              <w:rPr>
                <w:rFonts w:cs="Calibri" w:cstheme="minorHAnsi" w:ascii="Calibri" w:hAnsi="Calibri"/>
                <w:b/>
                <w:color w:val="000000"/>
                <w:sz w:val="18"/>
                <w:szCs w:val="18"/>
                <w:highlight w:val="yellow"/>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color w:val="000000"/>
                <w:sz w:val="18"/>
                <w:szCs w:val="18"/>
                <w:highlight w:val="yellow"/>
              </w:rPr>
            </w:pPr>
            <w:r>
              <w:rPr>
                <w:rFonts w:cs="Calibri" w:cstheme="minorHAnsi" w:ascii="Calibri" w:hAnsi="Calibri"/>
                <w:color w:val="000000"/>
                <w:sz w:val="18"/>
                <w:szCs w:val="18"/>
                <w:highlight w:val="yellow"/>
              </w:rPr>
            </w:r>
          </w:p>
        </w:tc>
      </w:tr>
      <w:tr>
        <w:trPr>
          <w:trHeight w:val="1215" w:hRule="atLeast"/>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c>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left="9" w:hanging="9"/>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Dostawa licencji Systemu medycznego</w:t>
            </w:r>
          </w:p>
        </w:tc>
        <w:tc>
          <w:tcPr>
            <w:tcW w:w="1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highlight w:val="yellow"/>
              </w:rPr>
              <w:t>____________</w:t>
            </w:r>
          </w:p>
          <w:p>
            <w:pPr>
              <w:pStyle w:val="Normal"/>
              <w:widowControl w:val="false"/>
              <w:spacing w:before="120" w:after="120"/>
              <w:jc w:val="center"/>
              <w:rPr>
                <w:rFonts w:ascii="Calibri" w:hAnsi="Calibri" w:cs="Calibri" w:asciiTheme="minorHAnsi" w:cstheme="minorHAnsi" w:hAnsiTheme="minorHAnsi"/>
                <w:b/>
                <w:color w:val="000000"/>
                <w:sz w:val="18"/>
                <w:szCs w:val="18"/>
                <w:highlight w:val="yellow"/>
              </w:rPr>
            </w:pPr>
            <w:r>
              <w:rPr>
                <w:rFonts w:cs="Calibri" w:cstheme="minorHAnsi" w:ascii="Calibri" w:hAnsi="Calibri"/>
                <w:b/>
                <w:color w:val="000000"/>
                <w:sz w:val="18"/>
                <w:szCs w:val="18"/>
                <w:highlight w:val="yellow"/>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color w:val="000000"/>
                <w:sz w:val="18"/>
                <w:szCs w:val="18"/>
                <w:highlight w:val="yellow"/>
              </w:rPr>
            </w:pPr>
            <w:r>
              <w:rPr>
                <w:rFonts w:cs="Calibri" w:cstheme="minorHAnsi" w:ascii="Calibri" w:hAnsi="Calibri"/>
                <w:color w:val="000000"/>
                <w:sz w:val="18"/>
                <w:szCs w:val="18"/>
                <w:highlight w:val="yellow"/>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c>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5"/>
              </w:numPr>
              <w:tabs>
                <w:tab w:val="clear" w:pos="709"/>
                <w:tab w:val="left" w:pos="388" w:leader="none"/>
              </w:tabs>
              <w:spacing w:before="120" w:after="120"/>
              <w:ind w:left="388" w:hanging="388"/>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Instalacja i konfiguracja Systemu medycznego na Infrastrukturze Sprzętowej;</w:t>
            </w:r>
          </w:p>
          <w:p>
            <w:pPr>
              <w:pStyle w:val="Normal"/>
              <w:widowControl w:val="false"/>
              <w:numPr>
                <w:ilvl w:val="0"/>
                <w:numId w:val="45"/>
              </w:numPr>
              <w:tabs>
                <w:tab w:val="clear" w:pos="709"/>
                <w:tab w:val="left" w:pos="388" w:leader="none"/>
              </w:tabs>
              <w:spacing w:before="120" w:after="120"/>
              <w:ind w:left="388" w:hanging="388"/>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Jednorazowe przeszkolenie Użytkowników</w:t>
            </w:r>
          </w:p>
        </w:tc>
        <w:tc>
          <w:tcPr>
            <w:tcW w:w="1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highlight w:val="yellow"/>
              </w:rPr>
              <w:t>____________</w:t>
            </w:r>
          </w:p>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highlight w:val="yellow"/>
              </w:rPr>
              <w:t>____________</w:t>
            </w:r>
          </w:p>
          <w:p>
            <w:pPr>
              <w:pStyle w:val="Normal"/>
              <w:widowControl w:val="false"/>
              <w:spacing w:before="120" w:after="120"/>
              <w:jc w:val="center"/>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tc>
      </w:tr>
      <w:tr>
        <w:trPr/>
        <w:tc>
          <w:tcPr>
            <w:tcW w:w="5137" w:type="dxa"/>
            <w:gridSpan w:val="2"/>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before="120" w:after="120"/>
              <w:jc w:val="right"/>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Termin końcowy</w:t>
            </w:r>
            <w:r>
              <w:rPr>
                <w:rFonts w:cs="Calibri" w:ascii="Calibri" w:hAnsi="Calibri" w:asciiTheme="minorHAnsi" w:cstheme="minorHAnsi" w:hAnsiTheme="minorHAnsi"/>
                <w:color w:val="000000"/>
                <w:sz w:val="18"/>
                <w:szCs w:val="18"/>
              </w:rPr>
              <w:t xml:space="preserve"> (termin wykonania całości Wdrożenia) </w:t>
            </w:r>
          </w:p>
        </w:tc>
        <w:tc>
          <w:tcPr>
            <w:tcW w:w="1821"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highlight w:val="yellow"/>
              </w:rPr>
              <w:t>____________</w:t>
            </w:r>
          </w:p>
        </w:tc>
        <w:tc>
          <w:tcPr>
            <w:tcW w:w="2101" w:type="dxa"/>
            <w:tcBorders>
              <w:top w:val="single" w:sz="4" w:space="0" w:color="000000"/>
              <w:lef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tc>
      </w:tr>
    </w:tbl>
    <w:p>
      <w:pPr>
        <w:pStyle w:val="Normal"/>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r>
        <w:br w:type="page"/>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ZAŁĄCZNIK NR 2</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WZÓR PROTOKOŁU ODBIORU ETAPU/ODBIORU KOŃCOWEGO</w:t>
      </w:r>
    </w:p>
    <w:tbl>
      <w:tblPr>
        <w:tblW w:w="9154" w:type="dxa"/>
        <w:jc w:val="center"/>
        <w:tblInd w:w="0" w:type="dxa"/>
        <w:tblLayout w:type="fixed"/>
        <w:tblCellMar>
          <w:top w:w="0" w:type="dxa"/>
          <w:left w:w="57" w:type="dxa"/>
          <w:bottom w:w="0" w:type="dxa"/>
          <w:right w:w="57" w:type="dxa"/>
        </w:tblCellMar>
        <w:tblLook w:firstRow="1" w:noVBand="0" w:lastRow="1" w:firstColumn="1" w:lastColumn="1" w:noHBand="0" w:val="01e0"/>
      </w:tblPr>
      <w:tblGrid>
        <w:gridCol w:w="574"/>
        <w:gridCol w:w="2188"/>
        <w:gridCol w:w="1977"/>
        <w:gridCol w:w="722"/>
        <w:gridCol w:w="1558"/>
        <w:gridCol w:w="2125"/>
        <w:gridCol w:w="10"/>
      </w:tblGrid>
      <w:tr>
        <w:trPr>
          <w:trHeight w:val="508" w:hRule="atLeast"/>
        </w:trPr>
        <w:tc>
          <w:tcPr>
            <w:tcW w:w="9154" w:type="dxa"/>
            <w:gridSpan w:val="7"/>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PlainText"/>
              <w:widowControl w:val="false"/>
              <w:jc w:val="center"/>
              <w:rPr>
                <w:rFonts w:ascii="Calibri" w:hAnsi="Calibri" w:cs="Calibri" w:asciiTheme="minorHAnsi" w:cstheme="minorHAnsi" w:hAnsiTheme="minorHAnsi"/>
                <w:b/>
                <w:color w:val="auto"/>
                <w:sz w:val="18"/>
                <w:szCs w:val="18"/>
                <w:lang w:val="pl-PL"/>
              </w:rPr>
            </w:pPr>
            <w:r>
              <w:rPr>
                <w:rFonts w:cs="Calibri" w:cstheme="minorHAnsi"/>
                <w:b/>
                <w:color w:val="auto"/>
                <w:sz w:val="18"/>
                <w:szCs w:val="18"/>
                <w:lang w:val="pl-PL"/>
              </w:rPr>
              <w:t>PROTOKÓŁ ODBIORU ETAPU / ODBIORU KOŃCOWEGO</w:t>
            </w:r>
          </w:p>
        </w:tc>
      </w:tr>
      <w:tr>
        <w:trPr>
          <w:trHeight w:val="508"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Umowa:</w:t>
            </w:r>
          </w:p>
        </w:tc>
        <w:tc>
          <w:tcPr>
            <w:tcW w:w="6392" w:type="dxa"/>
            <w:gridSpan w:val="5"/>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PlainText"/>
              <w:widowControl w:val="false"/>
              <w:rPr>
                <w:rFonts w:ascii="Calibri" w:hAnsi="Calibri" w:cs="Calibri" w:asciiTheme="minorHAnsi" w:cstheme="minorHAnsi" w:hAnsiTheme="minorHAnsi"/>
                <w:color w:val="auto"/>
                <w:sz w:val="18"/>
                <w:szCs w:val="18"/>
                <w:lang w:val="pl-PL"/>
              </w:rPr>
            </w:pPr>
            <w:r>
              <w:rPr>
                <w:rFonts w:cs="Calibri" w:cstheme="minorHAnsi"/>
                <w:color w:val="auto"/>
                <w:sz w:val="18"/>
                <w:szCs w:val="18"/>
                <w:lang w:val="pl-PL"/>
              </w:rPr>
            </w:r>
          </w:p>
        </w:tc>
      </w:tr>
      <w:tr>
        <w:trPr>
          <w:trHeight w:val="508"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Miejscowość:</w:t>
            </w:r>
          </w:p>
        </w:tc>
        <w:tc>
          <w:tcPr>
            <w:tcW w:w="1977" w:type="dxa"/>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2280" w:type="dxa"/>
            <w:gridSpan w:val="2"/>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Data:</w:t>
            </w:r>
          </w:p>
        </w:tc>
        <w:tc>
          <w:tcPr>
            <w:tcW w:w="2135" w:type="dxa"/>
            <w:gridSpan w:val="2"/>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508" w:hRule="atLeast"/>
        </w:trPr>
        <w:tc>
          <w:tcPr>
            <w:tcW w:w="9154" w:type="dxa"/>
            <w:gridSpan w:val="7"/>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Skład komisji odbierającej</w:t>
            </w:r>
          </w:p>
        </w:tc>
      </w:tr>
      <w:tr>
        <w:trPr>
          <w:trHeight w:val="508"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ze strony Zamawiającego:</w:t>
            </w:r>
          </w:p>
        </w:tc>
        <w:tc>
          <w:tcPr>
            <w:tcW w:w="6392" w:type="dxa"/>
            <w:gridSpan w:val="5"/>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508"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ze strony Wykonawcy:</w:t>
            </w:r>
          </w:p>
        </w:tc>
        <w:tc>
          <w:tcPr>
            <w:tcW w:w="6392" w:type="dxa"/>
            <w:gridSpan w:val="5"/>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508" w:hRule="atLeast"/>
        </w:trPr>
        <w:tc>
          <w:tcPr>
            <w:tcW w:w="9154" w:type="dxa"/>
            <w:gridSpan w:val="7"/>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Protokół dotyczy:</w:t>
            </w:r>
          </w:p>
        </w:tc>
      </w:tr>
      <w:tr>
        <w:trPr>
          <w:trHeight w:val="450" w:hRule="atLeast"/>
        </w:trPr>
        <w:tc>
          <w:tcPr>
            <w:tcW w:w="574" w:type="dxa"/>
            <w:tcBorders>
              <w:top w:val="single" w:sz="4" w:space="0" w:color="000000"/>
              <w:left w:val="single" w:sz="4" w:space="0" w:color="333333"/>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asciiTheme="minorHAnsi" w:cstheme="minorHAnsi" w:hAnsiTheme="minorHAnsi"/>
                <w:b/>
                <w:sz w:val="18"/>
                <w:szCs w:val="18"/>
                <w:lang w:val="en-US"/>
              </w:rPr>
            </w:pPr>
            <w:r>
              <w:rPr>
                <w:rFonts w:cs="Calibri" w:ascii="Calibri" w:hAnsi="Calibri" w:asciiTheme="minorHAnsi" w:cstheme="minorHAnsi" w:hAnsiTheme="minorHAnsi"/>
                <w:b/>
                <w:sz w:val="20"/>
                <w:szCs w:val="20"/>
              </w:rPr>
              <w:t>Lp.</w:t>
            </w:r>
          </w:p>
        </w:tc>
        <w:tc>
          <w:tcPr>
            <w:tcW w:w="8580" w:type="dxa"/>
            <w:gridSpan w:val="6"/>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rPr>
                <w:rFonts w:ascii="Calibri" w:hAnsi="Calibri" w:cs="Calibri" w:asciiTheme="minorHAnsi" w:cstheme="minorHAnsi" w:hAnsiTheme="minorHAnsi"/>
                <w:sz w:val="18"/>
                <w:szCs w:val="18"/>
                <w:lang w:val="en-US"/>
              </w:rPr>
            </w:pPr>
            <w:r>
              <w:rPr>
                <w:rFonts w:cs="Calibri" w:ascii="Calibri" w:hAnsi="Calibri" w:asciiTheme="minorHAnsi" w:cstheme="minorHAnsi" w:hAnsiTheme="minorHAnsi"/>
                <w:b/>
                <w:sz w:val="20"/>
                <w:szCs w:val="20"/>
              </w:rPr>
              <w:t>Przedmiot Odbioru</w:t>
            </w:r>
          </w:p>
        </w:tc>
      </w:tr>
      <w:tr>
        <w:trPr>
          <w:trHeight w:val="447" w:hRule="atLeast"/>
        </w:trPr>
        <w:tc>
          <w:tcPr>
            <w:tcW w:w="574" w:type="dxa"/>
            <w:tcBorders>
              <w:top w:val="single" w:sz="4" w:space="0" w:color="000000"/>
              <w:left w:val="single" w:sz="4" w:space="0" w:color="333333"/>
              <w:bottom w:val="single" w:sz="4" w:space="0" w:color="000000"/>
              <w:right w:val="single" w:sz="4" w:space="0" w:color="000000"/>
            </w:tcBorders>
            <w:shd w:color="auto" w:fill="auto" w:val="clear"/>
            <w:vAlign w:val="center"/>
          </w:tcPr>
          <w:p>
            <w:pPr>
              <w:pStyle w:val="Normal"/>
              <w:widowControl w:val="false"/>
              <w:numPr>
                <w:ilvl w:val="0"/>
                <w:numId w:val="43"/>
              </w:numPr>
              <w:jc w:val="center"/>
              <w:rPr>
                <w:rFonts w:ascii="Calibri" w:hAnsi="Calibri" w:cs="Calibri" w:asciiTheme="minorHAnsi" w:cstheme="minorHAnsi" w:hAnsiTheme="minorHAnsi"/>
                <w:sz w:val="18"/>
                <w:szCs w:val="18"/>
                <w:lang w:val="en-US"/>
              </w:rPr>
            </w:pPr>
            <w:r>
              <w:rPr>
                <w:rFonts w:cs="Calibri" w:cstheme="minorHAnsi" w:ascii="Calibri" w:hAnsi="Calibri"/>
                <w:sz w:val="18"/>
                <w:szCs w:val="18"/>
                <w:lang w:val="en-US"/>
              </w:rPr>
            </w:r>
          </w:p>
        </w:tc>
        <w:tc>
          <w:tcPr>
            <w:tcW w:w="8580" w:type="dxa"/>
            <w:gridSpan w:val="6"/>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447" w:hRule="atLeast"/>
        </w:trPr>
        <w:tc>
          <w:tcPr>
            <w:tcW w:w="574" w:type="dxa"/>
            <w:tcBorders>
              <w:top w:val="single" w:sz="4" w:space="0" w:color="000000"/>
              <w:left w:val="single" w:sz="4" w:space="0" w:color="333333"/>
              <w:bottom w:val="single" w:sz="4" w:space="0" w:color="000000"/>
              <w:right w:val="single" w:sz="4" w:space="0" w:color="000000"/>
            </w:tcBorders>
            <w:shd w:color="auto" w:fill="auto" w:val="clear"/>
            <w:vAlign w:val="center"/>
          </w:tcPr>
          <w:p>
            <w:pPr>
              <w:pStyle w:val="Normal"/>
              <w:widowControl w:val="false"/>
              <w:numPr>
                <w:ilvl w:val="0"/>
                <w:numId w:val="43"/>
              </w:numPr>
              <w:jc w:val="center"/>
              <w:rPr>
                <w:rFonts w:ascii="Calibri" w:hAnsi="Calibri" w:cs="Calibri" w:asciiTheme="minorHAnsi" w:cstheme="minorHAnsi" w:hAnsiTheme="minorHAnsi"/>
                <w:sz w:val="18"/>
                <w:szCs w:val="18"/>
                <w:lang w:val="en-US"/>
              </w:rPr>
            </w:pPr>
            <w:r>
              <w:rPr>
                <w:rFonts w:cs="Calibri" w:cstheme="minorHAnsi" w:ascii="Calibri" w:hAnsi="Calibri"/>
                <w:sz w:val="18"/>
                <w:szCs w:val="18"/>
                <w:lang w:val="en-US"/>
              </w:rPr>
            </w:r>
          </w:p>
        </w:tc>
        <w:tc>
          <w:tcPr>
            <w:tcW w:w="8580" w:type="dxa"/>
            <w:gridSpan w:val="6"/>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417" w:hRule="atLeast"/>
        </w:trPr>
        <w:tc>
          <w:tcPr>
            <w:tcW w:w="9154" w:type="dxa"/>
            <w:gridSpan w:val="7"/>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Zastrzeżenia:</w:t>
            </w:r>
          </w:p>
        </w:tc>
      </w:tr>
      <w:tr>
        <w:trPr>
          <w:trHeight w:val="1274" w:hRule="atLeast"/>
        </w:trPr>
        <w:tc>
          <w:tcPr>
            <w:tcW w:w="9154" w:type="dxa"/>
            <w:gridSpan w:val="7"/>
            <w:tcBorders>
              <w:top w:val="single" w:sz="4" w:space="0" w:color="000000"/>
              <w:left w:val="single" w:sz="4" w:space="0" w:color="333333"/>
              <w:bottom w:val="single" w:sz="4" w:space="0" w:color="000000"/>
              <w:right w:val="single" w:sz="4" w:space="0" w:color="000000"/>
            </w:tcBorders>
            <w:shd w:color="auto" w:fill="auto" w:val="cle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413" w:hRule="atLeast"/>
        </w:trPr>
        <w:tc>
          <w:tcPr>
            <w:tcW w:w="9154" w:type="dxa"/>
            <w:gridSpan w:val="7"/>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Akceptacja – podpisy</w:t>
            </w:r>
          </w:p>
        </w:tc>
      </w:tr>
      <w:tr>
        <w:trPr>
          <w:trHeight w:val="518"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Zamawiający</w:t>
            </w:r>
          </w:p>
        </w:tc>
        <w:tc>
          <w:tcPr>
            <w:tcW w:w="2699" w:type="dxa"/>
            <w:gridSpan w:val="2"/>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Imię i nazwisko</w:t>
            </w:r>
          </w:p>
        </w:tc>
        <w:tc>
          <w:tcPr>
            <w:tcW w:w="1558" w:type="dxa"/>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Data</w:t>
            </w:r>
          </w:p>
        </w:tc>
        <w:tc>
          <w:tcPr>
            <w:tcW w:w="2125" w:type="dxa"/>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Podpis</w:t>
            </w:r>
          </w:p>
        </w:tc>
        <w:tc>
          <w:tcPr>
            <w:tcW w:w="10" w:type="dxa"/>
            <w:tcBorders/>
            <w:tcMar>
              <w:left w:w="108" w:type="dxa"/>
              <w:right w:w="108" w:type="dxa"/>
            </w:tcMar>
          </w:tcPr>
          <w:p>
            <w:pPr>
              <w:pStyle w:val="Normal"/>
              <w:widowControl w:val="false"/>
              <w:rPr/>
            </w:pPr>
            <w:r>
              <w:rPr/>
            </w:r>
          </w:p>
        </w:tc>
      </w:tr>
      <w:tr>
        <w:trPr>
          <w:trHeight w:val="517"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auto" w:val="cle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2699" w:type="dxa"/>
            <w:gridSpan w:val="2"/>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1558" w:type="dxa"/>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2125" w:type="dxa"/>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10" w:type="dxa"/>
            <w:tcBorders/>
            <w:tcMar>
              <w:left w:w="108" w:type="dxa"/>
              <w:right w:w="108" w:type="dxa"/>
            </w:tcMar>
          </w:tcPr>
          <w:p>
            <w:pPr>
              <w:pStyle w:val="Normal"/>
              <w:widowControl w:val="false"/>
              <w:rPr/>
            </w:pPr>
            <w:r>
              <w:rPr/>
            </w:r>
          </w:p>
        </w:tc>
      </w:tr>
      <w:tr>
        <w:trPr>
          <w:trHeight w:val="518"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D9D9D9" w:val="cle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Wykonawca</w:t>
            </w:r>
          </w:p>
        </w:tc>
        <w:tc>
          <w:tcPr>
            <w:tcW w:w="2699" w:type="dxa"/>
            <w:gridSpan w:val="2"/>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Imię i nazwisko</w:t>
            </w:r>
          </w:p>
        </w:tc>
        <w:tc>
          <w:tcPr>
            <w:tcW w:w="1558" w:type="dxa"/>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Data</w:t>
            </w:r>
          </w:p>
        </w:tc>
        <w:tc>
          <w:tcPr>
            <w:tcW w:w="2125" w:type="dxa"/>
            <w:tcBorders>
              <w:top w:val="single" w:sz="4" w:space="0" w:color="000000"/>
              <w:left w:val="single" w:sz="4" w:space="0" w:color="333333"/>
              <w:bottom w:val="single" w:sz="4" w:space="0" w:color="000000"/>
              <w:right w:val="single" w:sz="4" w:space="0" w:color="000000"/>
            </w:tcBorders>
            <w:shd w:color="auto" w:fill="D9D9D9" w:val="clear"/>
            <w:tcMar>
              <w:left w:w="108" w:type="dxa"/>
              <w:right w:w="108" w:type="dxa"/>
            </w:tcMar>
            <w:vAlign w:val="center"/>
          </w:tcPr>
          <w:p>
            <w:pPr>
              <w:pStyle w:val="Normal"/>
              <w:widowControl w:val="false"/>
              <w:spacing w:before="60" w:after="6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Podpis</w:t>
            </w:r>
          </w:p>
        </w:tc>
        <w:tc>
          <w:tcPr>
            <w:tcW w:w="10" w:type="dxa"/>
            <w:tcBorders/>
            <w:tcMar>
              <w:left w:w="108" w:type="dxa"/>
              <w:right w:w="108" w:type="dxa"/>
            </w:tcMar>
          </w:tcPr>
          <w:p>
            <w:pPr>
              <w:pStyle w:val="Normal"/>
              <w:widowControl w:val="false"/>
              <w:rPr/>
            </w:pPr>
            <w:r>
              <w:rPr/>
            </w:r>
          </w:p>
        </w:tc>
      </w:tr>
      <w:tr>
        <w:trPr>
          <w:trHeight w:val="517" w:hRule="atLeast"/>
        </w:trPr>
        <w:tc>
          <w:tcPr>
            <w:tcW w:w="2762" w:type="dxa"/>
            <w:gridSpan w:val="2"/>
            <w:tcBorders>
              <w:top w:val="single" w:sz="4" w:space="0" w:color="000000"/>
              <w:left w:val="single" w:sz="4" w:space="0" w:color="333333"/>
              <w:bottom w:val="single" w:sz="4" w:space="0" w:color="000000"/>
              <w:right w:val="single" w:sz="4" w:space="0" w:color="000000"/>
            </w:tcBorders>
            <w:shd w:color="auto" w:fill="auto" w:val="cle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2699" w:type="dxa"/>
            <w:gridSpan w:val="2"/>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1558" w:type="dxa"/>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2125" w:type="dxa"/>
            <w:tcBorders>
              <w:top w:val="single" w:sz="4" w:space="0" w:color="000000"/>
              <w:left w:val="single" w:sz="4" w:space="0" w:color="333333"/>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before="60" w:after="60"/>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10" w:type="dxa"/>
            <w:tcBorders/>
            <w:tcMar>
              <w:left w:w="108" w:type="dxa"/>
              <w:right w:w="108" w:type="dxa"/>
            </w:tcMar>
          </w:tcPr>
          <w:p>
            <w:pPr>
              <w:pStyle w:val="Normal"/>
              <w:widowControl w:val="false"/>
              <w:rPr/>
            </w:pPr>
            <w:r>
              <w:rPr/>
            </w:r>
          </w:p>
        </w:tc>
      </w:tr>
    </w:tbl>
    <w:p>
      <w:pPr>
        <w:pStyle w:val="Normal"/>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BodyText2"/>
        <w:spacing w:before="120" w:after="120"/>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r>
        <w:br w:type="page"/>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ZAŁĄCZNIK NR 3</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Normal"/>
        <w:numPr>
          <w:ilvl w:val="0"/>
          <w:numId w:val="0"/>
        </w:numPr>
        <w:spacing w:before="120" w:after="120"/>
        <w:ind w:left="0" w:hanging="0"/>
        <w:jc w:val="center"/>
        <w:outlineLvl w:val="0"/>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LICENCJA SYSTEMU MEDYCZNEGO</w:t>
      </w:r>
    </w:p>
    <w:p>
      <w:pPr>
        <w:pStyle w:val="Normal"/>
        <w:tabs>
          <w:tab w:val="clear" w:pos="709"/>
          <w:tab w:val="left" w:pos="0" w:leader="none"/>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Licencjodawca</w:t>
        <w:tab/>
      </w:r>
      <w:r>
        <w:rPr>
          <w:rFonts w:cs="Calibri" w:ascii="Calibri" w:hAnsi="Calibri" w:asciiTheme="minorHAnsi" w:cstheme="minorHAnsi" w:hAnsiTheme="minorHAnsi"/>
          <w:b/>
          <w:color w:val="000000"/>
          <w:sz w:val="18"/>
          <w:szCs w:val="18"/>
          <w:highlight w:val="yellow"/>
        </w:rPr>
        <w:t>___________</w:t>
      </w:r>
      <w:r>
        <w:rPr>
          <w:rFonts w:cs="Calibri" w:ascii="Calibri" w:hAnsi="Calibri" w:asciiTheme="minorHAnsi" w:cstheme="minorHAnsi" w:hAnsiTheme="minorHAnsi"/>
          <w:color w:val="000000"/>
          <w:sz w:val="18"/>
          <w:szCs w:val="18"/>
        </w:rPr>
        <w:t xml:space="preserve">, z siedzibą w </w:t>
      </w:r>
      <w:r>
        <w:rPr>
          <w:rFonts w:cs="Calibri" w:ascii="Calibri" w:hAnsi="Calibri" w:asciiTheme="minorHAnsi" w:cstheme="minorHAnsi" w:hAnsiTheme="minorHAnsi"/>
          <w:color w:val="000000"/>
          <w:sz w:val="18"/>
          <w:szCs w:val="18"/>
          <w:highlight w:val="yellow"/>
        </w:rPr>
        <w:t>____________</w:t>
      </w:r>
      <w:r>
        <w:rPr>
          <w:rFonts w:cs="Calibri" w:ascii="Calibri" w:hAnsi="Calibri" w:asciiTheme="minorHAnsi" w:cstheme="minorHAnsi" w:hAnsiTheme="minorHAnsi"/>
          <w:color w:val="000000"/>
          <w:sz w:val="18"/>
          <w:szCs w:val="18"/>
        </w:rPr>
        <w:t xml:space="preserve"> przy ul. </w:t>
      </w:r>
      <w:r>
        <w:rPr>
          <w:rFonts w:cs="Calibri" w:ascii="Calibri" w:hAnsi="Calibri" w:asciiTheme="minorHAnsi" w:cstheme="minorHAnsi" w:hAnsiTheme="minorHAnsi"/>
          <w:color w:val="000000"/>
          <w:sz w:val="18"/>
          <w:szCs w:val="18"/>
          <w:highlight w:val="yellow"/>
        </w:rPr>
        <w:t>___________</w:t>
      </w:r>
      <w:r>
        <w:rPr>
          <w:rFonts w:cs="Calibri" w:ascii="Calibri" w:hAnsi="Calibri" w:asciiTheme="minorHAnsi" w:cstheme="minorHAnsi" w:hAnsiTheme="minorHAnsi"/>
          <w:color w:val="000000"/>
          <w:sz w:val="18"/>
          <w:szCs w:val="18"/>
        </w:rPr>
        <w:t xml:space="preserve">, NIP: </w:t>
      </w:r>
      <w:r>
        <w:rPr>
          <w:rFonts w:cs="Calibri" w:ascii="Calibri" w:hAnsi="Calibri" w:asciiTheme="minorHAnsi" w:cstheme="minorHAnsi" w:hAnsiTheme="minorHAnsi"/>
          <w:color w:val="000000"/>
          <w:sz w:val="18"/>
          <w:szCs w:val="18"/>
          <w:highlight w:val="yellow"/>
        </w:rPr>
        <w:t>_____________</w:t>
      </w:r>
      <w:r>
        <w:rPr>
          <w:rFonts w:cs="Calibri" w:ascii="Calibri" w:hAnsi="Calibri" w:asciiTheme="minorHAnsi" w:cstheme="minorHAnsi" w:hAnsiTheme="minorHAnsi"/>
          <w:color w:val="000000"/>
          <w:sz w:val="18"/>
          <w:szCs w:val="18"/>
        </w:rPr>
        <w:t xml:space="preserve">, </w:t>
      </w:r>
    </w:p>
    <w:p>
      <w:pPr>
        <w:pStyle w:val="Normal"/>
        <w:tabs>
          <w:tab w:val="clear" w:pos="709"/>
          <w:tab w:val="left" w:pos="0" w:leader="none"/>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ab/>
        <w:tab/>
      </w:r>
      <w:r>
        <w:rPr>
          <w:rFonts w:cs="Calibri" w:ascii="Calibri" w:hAnsi="Calibri" w:asciiTheme="minorHAnsi" w:cstheme="minorHAnsi" w:hAnsiTheme="minorHAnsi"/>
          <w:color w:val="000000"/>
          <w:sz w:val="18"/>
          <w:szCs w:val="18"/>
          <w:highlight w:val="yellow"/>
        </w:rPr>
        <w:t>____________________________________________________________________________</w:t>
      </w:r>
    </w:p>
    <w:p>
      <w:pPr>
        <w:pStyle w:val="Normal"/>
        <w:tabs>
          <w:tab w:val="clear" w:pos="709"/>
          <w:tab w:val="left" w:pos="0" w:leader="none"/>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Licencjobiorca</w:t>
        <w:tab/>
      </w:r>
      <w:r>
        <w:rPr>
          <w:rFonts w:cs="Calibri" w:ascii="Calibri" w:hAnsi="Calibri" w:asciiTheme="minorHAnsi" w:cstheme="minorHAnsi" w:hAnsiTheme="minorHAnsi"/>
          <w:b/>
          <w:color w:val="000000"/>
          <w:sz w:val="18"/>
          <w:szCs w:val="18"/>
          <w:highlight w:val="yellow"/>
        </w:rPr>
        <w:t>___________</w:t>
      </w:r>
      <w:r>
        <w:rPr>
          <w:rFonts w:cs="Calibri" w:ascii="Calibri" w:hAnsi="Calibri" w:asciiTheme="minorHAnsi" w:cstheme="minorHAnsi" w:hAnsiTheme="minorHAnsi"/>
          <w:color w:val="000000"/>
          <w:sz w:val="18"/>
          <w:szCs w:val="18"/>
        </w:rPr>
        <w:t xml:space="preserve">, z siedzibą w </w:t>
      </w:r>
      <w:r>
        <w:rPr>
          <w:rFonts w:cs="Calibri" w:ascii="Calibri" w:hAnsi="Calibri" w:asciiTheme="minorHAnsi" w:cstheme="minorHAnsi" w:hAnsiTheme="minorHAnsi"/>
          <w:color w:val="000000"/>
          <w:sz w:val="18"/>
          <w:szCs w:val="18"/>
          <w:highlight w:val="yellow"/>
        </w:rPr>
        <w:t>____________</w:t>
      </w:r>
      <w:r>
        <w:rPr>
          <w:rFonts w:cs="Calibri" w:ascii="Calibri" w:hAnsi="Calibri" w:asciiTheme="minorHAnsi" w:cstheme="minorHAnsi" w:hAnsiTheme="minorHAnsi"/>
          <w:color w:val="000000"/>
          <w:sz w:val="18"/>
          <w:szCs w:val="18"/>
        </w:rPr>
        <w:t xml:space="preserve"> przy ul. </w:t>
      </w:r>
      <w:r>
        <w:rPr>
          <w:rFonts w:cs="Calibri" w:ascii="Calibri" w:hAnsi="Calibri" w:asciiTheme="minorHAnsi" w:cstheme="minorHAnsi" w:hAnsiTheme="minorHAnsi"/>
          <w:color w:val="000000"/>
          <w:sz w:val="18"/>
          <w:szCs w:val="18"/>
          <w:highlight w:val="yellow"/>
        </w:rPr>
        <w:t>___________</w:t>
      </w:r>
      <w:r>
        <w:rPr>
          <w:rFonts w:cs="Calibri" w:ascii="Calibri" w:hAnsi="Calibri" w:asciiTheme="minorHAnsi" w:cstheme="minorHAnsi" w:hAnsiTheme="minorHAnsi"/>
          <w:color w:val="000000"/>
          <w:sz w:val="18"/>
          <w:szCs w:val="18"/>
        </w:rPr>
        <w:t xml:space="preserve">, NIP: </w:t>
      </w:r>
      <w:r>
        <w:rPr>
          <w:rFonts w:cs="Calibri" w:ascii="Calibri" w:hAnsi="Calibri" w:asciiTheme="minorHAnsi" w:cstheme="minorHAnsi" w:hAnsiTheme="minorHAnsi"/>
          <w:color w:val="000000"/>
          <w:sz w:val="18"/>
          <w:szCs w:val="18"/>
          <w:highlight w:val="yellow"/>
        </w:rPr>
        <w:t>_____________</w:t>
      </w:r>
      <w:r>
        <w:rPr>
          <w:rFonts w:cs="Calibri" w:ascii="Calibri" w:hAnsi="Calibri" w:asciiTheme="minorHAnsi" w:cstheme="minorHAnsi" w:hAnsiTheme="minorHAnsi"/>
          <w:color w:val="000000"/>
          <w:sz w:val="18"/>
          <w:szCs w:val="18"/>
        </w:rPr>
        <w:t xml:space="preserve">, </w:t>
      </w:r>
    </w:p>
    <w:p>
      <w:pPr>
        <w:pStyle w:val="Normal"/>
        <w:tabs>
          <w:tab w:val="clear" w:pos="709"/>
          <w:tab w:val="left" w:pos="0" w:leader="none"/>
        </w:tabs>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ab/>
        <w:tab/>
      </w:r>
      <w:r>
        <w:rPr>
          <w:rFonts w:cs="Calibri" w:ascii="Calibri" w:hAnsi="Calibri" w:asciiTheme="minorHAnsi" w:cstheme="minorHAnsi" w:hAnsiTheme="minorHAnsi"/>
          <w:color w:val="000000"/>
          <w:sz w:val="18"/>
          <w:szCs w:val="18"/>
          <w:highlight w:val="yellow"/>
        </w:rPr>
        <w:t>____________________________________________________________________________</w:t>
      </w:r>
    </w:p>
    <w:p>
      <w:pPr>
        <w:pStyle w:val="Normal"/>
        <w:spacing w:before="120" w:after="120"/>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DEFINICJE:</w:t>
      </w:r>
    </w:p>
    <w:p>
      <w:pPr>
        <w:pStyle w:val="Normal"/>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Oprogramowanie</w:t>
      </w:r>
      <w:r>
        <w:rPr>
          <w:rFonts w:cs="Calibri" w:ascii="Calibri" w:hAnsi="Calibri" w:asciiTheme="minorHAnsi" w:cstheme="minorHAnsi" w:hAnsiTheme="minorHAnsi"/>
          <w:color w:val="000000"/>
          <w:sz w:val="18"/>
          <w:szCs w:val="18"/>
        </w:rPr>
        <w:t xml:space="preserve"> -  program informatyczny autorstwa Wykonawcy, o budowie modułowej, przeznaczony do pracy i zarządzania jednostkami lecznictwa otwartego i zamkniętego  w wersji </w:t>
      </w:r>
      <w:r>
        <w:rPr>
          <w:rFonts w:cs="Calibri" w:ascii="Calibri" w:hAnsi="Calibri" w:asciiTheme="minorHAnsi" w:cstheme="minorHAnsi" w:hAnsiTheme="minorHAnsi"/>
          <w:color w:val="000000"/>
          <w:sz w:val="18"/>
          <w:szCs w:val="18"/>
          <w:highlight w:val="yellow"/>
        </w:rPr>
        <w:t>______</w:t>
      </w:r>
      <w:r>
        <w:rPr>
          <w:rFonts w:cs="Calibri" w:ascii="Calibri" w:hAnsi="Calibri" w:asciiTheme="minorHAnsi" w:cstheme="minorHAnsi" w:hAnsiTheme="minorHAnsi"/>
          <w:color w:val="000000"/>
          <w:sz w:val="18"/>
          <w:szCs w:val="18"/>
        </w:rPr>
        <w:t xml:space="preserve">, , którego modułową specyfikację (Moduły) określa Specyfikacja. </w:t>
      </w:r>
    </w:p>
    <w:p>
      <w:pPr>
        <w:pStyle w:val="Normal"/>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 xml:space="preserve">Moduł </w:t>
      </w:r>
      <w:r>
        <w:rPr>
          <w:rFonts w:cs="Calibri" w:ascii="Calibri" w:hAnsi="Calibri" w:asciiTheme="minorHAnsi" w:cstheme="minorHAnsi" w:hAnsiTheme="minorHAnsi"/>
          <w:color w:val="000000"/>
          <w:sz w:val="18"/>
          <w:szCs w:val="18"/>
        </w:rPr>
        <w:t>-</w:t>
      </w:r>
      <w:r>
        <w:rPr>
          <w:rFonts w:cs="Calibri" w:ascii="Calibri" w:hAnsi="Calibri" w:asciiTheme="minorHAnsi" w:cstheme="minorHAnsi" w:hAnsiTheme="minorHAnsi"/>
          <w:b/>
          <w:color w:val="000000"/>
          <w:sz w:val="18"/>
          <w:szCs w:val="18"/>
        </w:rPr>
        <w:t xml:space="preserve"> </w:t>
      </w:r>
      <w:r>
        <w:rPr>
          <w:rFonts w:cs="Calibri" w:ascii="Calibri" w:hAnsi="Calibri" w:asciiTheme="minorHAnsi" w:cstheme="minorHAnsi" w:hAnsiTheme="minorHAnsi"/>
          <w:color w:val="000000"/>
          <w:sz w:val="18"/>
          <w:szCs w:val="18"/>
        </w:rPr>
        <w:t xml:space="preserve">oznacza wyodrębniony pod względem funkcjonalnym element Oprogramowania, określony </w:t>
        <w:br/>
        <w:t>w Specyfikacji.</w:t>
      </w:r>
    </w:p>
    <w:p>
      <w:pPr>
        <w:pStyle w:val="Normal"/>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Specyfikacja</w:t>
      </w:r>
      <w:r>
        <w:rPr>
          <w:rFonts w:cs="Calibri" w:ascii="Calibri" w:hAnsi="Calibri" w:asciiTheme="minorHAnsi" w:cstheme="minorHAnsi" w:hAnsiTheme="minorHAnsi"/>
          <w:color w:val="000000"/>
          <w:sz w:val="18"/>
          <w:szCs w:val="18"/>
        </w:rPr>
        <w:t xml:space="preserve"> - oznacza Załącznik nr 5 do Umowy, określający Oprogramowanie oraz Moduły.</w:t>
      </w:r>
    </w:p>
    <w:p>
      <w:pPr>
        <w:pStyle w:val="Normal"/>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Umowa</w:t>
      </w:r>
      <w:r>
        <w:rPr>
          <w:rFonts w:cs="Calibri" w:ascii="Calibri" w:hAnsi="Calibri" w:asciiTheme="minorHAnsi" w:cstheme="minorHAnsi" w:hAnsiTheme="minorHAnsi"/>
          <w:color w:val="000000"/>
          <w:sz w:val="18"/>
          <w:szCs w:val="18"/>
        </w:rPr>
        <w:t xml:space="preserve"> - Umowa Wdrożeniowa (nr </w:t>
      </w:r>
      <w:r>
        <w:rPr>
          <w:rFonts w:cs="Calibri" w:ascii="Calibri" w:hAnsi="Calibri" w:asciiTheme="minorHAnsi" w:cstheme="minorHAnsi" w:hAnsiTheme="minorHAnsi"/>
          <w:color w:val="000000"/>
          <w:sz w:val="18"/>
          <w:szCs w:val="18"/>
          <w:highlight w:val="yellow"/>
        </w:rPr>
        <w:t>_________________</w:t>
      </w:r>
      <w:r>
        <w:rPr>
          <w:rFonts w:cs="Calibri" w:ascii="Calibri" w:hAnsi="Calibri" w:asciiTheme="minorHAnsi" w:cstheme="minorHAnsi" w:hAnsiTheme="minorHAnsi"/>
          <w:color w:val="000000"/>
          <w:sz w:val="18"/>
          <w:szCs w:val="18"/>
        </w:rPr>
        <w:t xml:space="preserve">) z dnia </w:t>
      </w:r>
      <w:r>
        <w:rPr>
          <w:rFonts w:cs="Calibri" w:ascii="Calibri" w:hAnsi="Calibri" w:asciiTheme="minorHAnsi" w:cstheme="minorHAnsi" w:hAnsiTheme="minorHAnsi"/>
          <w:color w:val="000000"/>
          <w:sz w:val="18"/>
          <w:szCs w:val="18"/>
          <w:highlight w:val="yellow"/>
        </w:rPr>
        <w:t>______________</w:t>
      </w:r>
      <w:r>
        <w:rPr>
          <w:rFonts w:cs="Calibri" w:ascii="Calibri" w:hAnsi="Calibri" w:asciiTheme="minorHAnsi" w:cstheme="minorHAnsi" w:hAnsiTheme="minorHAnsi"/>
          <w:color w:val="000000"/>
          <w:sz w:val="18"/>
          <w:szCs w:val="18"/>
        </w:rPr>
        <w:t xml:space="preserve"> zawarta pomiędzy Licencjodawcą </w:t>
        <w:br/>
        <w:t>i Licencjobiorcą.</w:t>
      </w:r>
    </w:p>
    <w:p>
      <w:pPr>
        <w:pStyle w:val="Normal"/>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Dokumentacja Użytkownika</w:t>
      </w:r>
      <w:r>
        <w:rPr>
          <w:rFonts w:cs="Calibri" w:ascii="Calibri" w:hAnsi="Calibri" w:asciiTheme="minorHAnsi" w:cstheme="minorHAnsi" w:hAnsiTheme="minorHAnsi"/>
          <w:color w:val="000000"/>
          <w:sz w:val="18"/>
          <w:szCs w:val="18"/>
        </w:rPr>
        <w:t xml:space="preserve"> - oznacza dokumentację użytkownika Oprogramowania w wersji elektronicznej lub pisemnej.</w:t>
      </w:r>
    </w:p>
    <w:p>
      <w:pPr>
        <w:pStyle w:val="Normal"/>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Opłata Licencyjna</w:t>
      </w:r>
      <w:r>
        <w:rPr>
          <w:rFonts w:cs="Calibri" w:ascii="Calibri" w:hAnsi="Calibri" w:asciiTheme="minorHAnsi" w:cstheme="minorHAnsi" w:hAnsiTheme="minorHAnsi"/>
          <w:color w:val="000000"/>
          <w:sz w:val="18"/>
          <w:szCs w:val="18"/>
        </w:rPr>
        <w:t xml:space="preserve"> - oznacza wynagrodzenie Licencjodawcy z tytułu udzielenia Licencjobiorcy prawa do korzystania </w:t>
        <w:br/>
        <w:t>z Oprogramowania na warunkach określonych w niniejszej Licencji.</w:t>
      </w:r>
    </w:p>
    <w:p>
      <w:pPr>
        <w:pStyle w:val="Normal"/>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Infrastruktura Sprzętowa</w:t>
      </w:r>
      <w:r>
        <w:rPr>
          <w:rFonts w:cs="Calibri" w:ascii="Calibri" w:hAnsi="Calibri" w:asciiTheme="minorHAnsi" w:cstheme="minorHAnsi" w:hAnsiTheme="minorHAnsi"/>
          <w:color w:val="000000"/>
          <w:sz w:val="18"/>
          <w:szCs w:val="18"/>
        </w:rPr>
        <w:t xml:space="preserve"> – infrastruktura techniczna zapewniana przez Zamawiającego, między innymi: serwery, macierz, stacje robocze wraz z oprogramowaniem systemowym i oprogramowaniem narzędziowym, niezbędne dla uruchomienia i eksploatacji Systemu medycznego, spełniająca wymagania zdefiniowane w Załączniku nr 6.</w:t>
      </w:r>
    </w:p>
    <w:p>
      <w:pPr>
        <w:pStyle w:val="Normal"/>
        <w:spacing w:before="60" w:after="6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spacing w:before="60" w:after="60"/>
        <w:ind w:left="397" w:hanging="0"/>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Normal"/>
        <w:numPr>
          <w:ilvl w:val="0"/>
          <w:numId w:val="32"/>
        </w:numPr>
        <w:spacing w:before="60" w:after="60"/>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PRZEDMIOT LICENCJI</w:t>
      </w:r>
    </w:p>
    <w:p>
      <w:pPr>
        <w:pStyle w:val="Normal"/>
        <w:spacing w:before="60" w:after="60"/>
        <w:ind w:left="3" w:hanging="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Przedmiotem Licencji jest Oprogramowanie oraz Dokumentacja Użytkownika.</w:t>
      </w:r>
    </w:p>
    <w:p>
      <w:pPr>
        <w:pStyle w:val="Normal"/>
        <w:numPr>
          <w:ilvl w:val="0"/>
          <w:numId w:val="32"/>
        </w:numPr>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TYTUŁ PRAWNY</w:t>
      </w:r>
    </w:p>
    <w:p>
      <w:pPr>
        <w:pStyle w:val="Normal"/>
        <w:numPr>
          <w:ilvl w:val="0"/>
          <w:numId w:val="25"/>
        </w:numPr>
        <w:suppressAutoHyphens w:val="true"/>
        <w:spacing w:before="60" w:after="60"/>
        <w:jc w:val="both"/>
        <w:rPr>
          <w:rFonts w:ascii="Calibri" w:hAnsi="Calibri" w:cs="Calibri" w:asciiTheme="minorHAnsi" w:cstheme="minorHAnsi" w:hAnsiTheme="minorHAnsi"/>
          <w:i/>
          <w:i/>
          <w:color w:val="000000"/>
          <w:sz w:val="18"/>
          <w:szCs w:val="18"/>
        </w:rPr>
      </w:pPr>
      <w:r>
        <w:rPr>
          <w:rFonts w:cs="Calibri" w:ascii="Calibri" w:hAnsi="Calibri" w:asciiTheme="minorHAnsi" w:cstheme="minorHAnsi" w:hAnsiTheme="minorHAnsi"/>
          <w:color w:val="000000"/>
          <w:sz w:val="18"/>
          <w:szCs w:val="18"/>
        </w:rPr>
        <w:t xml:space="preserve">Licencjodawca oświadcza, iż w stosunku do Oprogramowania oraz Dokumentacji Użytkownika przysługują mu wyłączne autorskie prawa majątkowe w rozumieniu ustawy z dnia 4 lutego 1994 r. </w:t>
      </w:r>
      <w:r>
        <w:rPr>
          <w:rFonts w:cs="Calibri" w:ascii="Calibri" w:hAnsi="Calibri" w:asciiTheme="minorHAnsi" w:cstheme="minorHAnsi" w:hAnsiTheme="minorHAnsi"/>
          <w:i/>
          <w:color w:val="000000"/>
          <w:sz w:val="18"/>
          <w:szCs w:val="18"/>
        </w:rPr>
        <w:t xml:space="preserve">o prawie autorskim i prawach pokrewnych. </w:t>
      </w:r>
    </w:p>
    <w:p>
      <w:pPr>
        <w:pStyle w:val="Normal"/>
        <w:numPr>
          <w:ilvl w:val="0"/>
          <w:numId w:val="25"/>
        </w:numPr>
        <w:suppressAutoHyphens w:val="true"/>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części w jakiej Oprogramowanie oparte jest lub zawiera rozwiązania informatyczne osób trzecich (w tym  biblioteki programistyczne, programy, skrypty, pliki źródłowe), Licencjodawca oświadcza, że posiada niezbędne uprawnienia do udzielenia licencji na korzystanie z tych elementów na warunkach określonych w niniejszej Licencji.</w:t>
      </w:r>
    </w:p>
    <w:p>
      <w:pPr>
        <w:pStyle w:val="Normal"/>
        <w:numPr>
          <w:ilvl w:val="0"/>
          <w:numId w:val="25"/>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Licencjodawca oświadcza, że Oprogramowanie może zawierać elementy typu „open source” z otwartym kodem źródłowym licencjonowane na odrębnych warunkach licencyjnych, np. oprogramowanie objęte licencją otwartego oprogramowania (open source), powszechną licencją publiczną gnu (gnu general public license), powszechną licencją gnu dla bibliotek (gnu library general public license), mniejszą ogólną powszechną licencją gnu (gnu lesser general public license), licencją copyleft, licencją mozilla, licencją dystrybucji oprogramowania berkeley (berkeley software distribution license), licencją inicjatywy otwartego oprogramowania (open source initiative license), licencją mit, apache, licencjami domeny publicznej (public domain licenses) lub podobną. Licencjodawca nie daje żadnych gwarancji i nie ponosi bezpośredniej ani pośredniej odpowiedzialności za elementy „open source” zawarte w Oprogramowaniu.</w:t>
      </w:r>
    </w:p>
    <w:p>
      <w:pPr>
        <w:pStyle w:val="Normal"/>
        <w:numPr>
          <w:ilvl w:val="0"/>
          <w:numId w:val="25"/>
        </w:numPr>
        <w:suppressAutoHyphens w:val="true"/>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Licencja nie przenosi na Licencjobiorcę autorskich praw majątkowych do Oprogramowania i Dokumentacji Użytkownika, ani nie przyznaje żadnych innych praw poza wyraźnie określonymi w Licencji.</w:t>
      </w:r>
    </w:p>
    <w:p>
      <w:pPr>
        <w:pStyle w:val="Normal"/>
        <w:numPr>
          <w:ilvl w:val="0"/>
          <w:numId w:val="32"/>
        </w:numPr>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ZAKRES LICENCJI</w:t>
      </w:r>
    </w:p>
    <w:p>
      <w:pPr>
        <w:pStyle w:val="Normal"/>
        <w:numPr>
          <w:ilvl w:val="0"/>
          <w:numId w:val="26"/>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Licencjodawca udziela Licencjobiorcy Licencji na korzystanie z Oprogramowania, na następujących polach eksploatacji:</w:t>
      </w:r>
    </w:p>
    <w:p>
      <w:pPr>
        <w:pStyle w:val="Normal"/>
        <w:numPr>
          <w:ilvl w:val="1"/>
          <w:numId w:val="24"/>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zainstalowanie Oprogramowania oraz korzystanie z niego w postaci niezmienionej, zgodnie z Dokumentacją Użytkownika;</w:t>
      </w:r>
    </w:p>
    <w:p>
      <w:pPr>
        <w:pStyle w:val="Normal"/>
        <w:numPr>
          <w:ilvl w:val="1"/>
          <w:numId w:val="24"/>
        </w:numPr>
        <w:spacing w:before="60" w:after="60"/>
        <w:ind w:left="1080" w:hanging="357"/>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zwielokrotnianie Oprogramowania w zakresie, w którym jest to niezbędne dla wprowadzania, wyświetlania, stosowania i przechowywania dla potrzeb Licencjobiorcy, z uwzględnieniem prawa do sporządzenia kopii zapasowej Oprogramowania w celach bezpieczeństwa, zgodnie z warunkami Licencji;</w:t>
      </w:r>
    </w:p>
    <w:p>
      <w:pPr>
        <w:pStyle w:val="Normal"/>
        <w:numPr>
          <w:ilvl w:val="1"/>
          <w:numId w:val="24"/>
        </w:numPr>
        <w:spacing w:before="60" w:after="60"/>
        <w:ind w:left="1080" w:hanging="357"/>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rozpowszechnianie danych i zestawień własnych Licencjobiorcy przetwarzanych przez Oprogramowanie;</w:t>
      </w:r>
    </w:p>
    <w:p>
      <w:pPr>
        <w:pStyle w:val="Normal"/>
        <w:numPr>
          <w:ilvl w:val="1"/>
          <w:numId w:val="24"/>
        </w:numPr>
        <w:spacing w:before="60" w:after="60"/>
        <w:ind w:left="1080" w:hanging="357"/>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korzystanie z Dokumentacji Użytkownika w postaci niezmienionej dla celów związanych z korzystaniem z Oprogramowania.</w:t>
      </w:r>
    </w:p>
    <w:p>
      <w:pPr>
        <w:pStyle w:val="Normal"/>
        <w:numPr>
          <w:ilvl w:val="0"/>
          <w:numId w:val="26"/>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Niniejsza Licencja:</w:t>
      </w:r>
    </w:p>
    <w:p>
      <w:pPr>
        <w:pStyle w:val="Normal"/>
        <w:numPr>
          <w:ilvl w:val="0"/>
          <w:numId w:val="3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jest udzielana na okres wskazany w pkt IV Licencji</w:t>
      </w:r>
    </w:p>
    <w:p>
      <w:pPr>
        <w:pStyle w:val="Normal"/>
        <w:numPr>
          <w:ilvl w:val="0"/>
          <w:numId w:val="3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jest nieograniczona co do terytorium,</w:t>
      </w:r>
    </w:p>
    <w:p>
      <w:pPr>
        <w:pStyle w:val="Normal"/>
        <w:numPr>
          <w:ilvl w:val="0"/>
          <w:numId w:val="3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ma charakter niewyłączny,</w:t>
      </w:r>
    </w:p>
    <w:p>
      <w:pPr>
        <w:pStyle w:val="Normal"/>
        <w:numPr>
          <w:ilvl w:val="0"/>
          <w:numId w:val="3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ma charakter odpłatny (Opłata Licencyjna),</w:t>
      </w:r>
    </w:p>
    <w:p>
      <w:pPr>
        <w:pStyle w:val="Normal"/>
        <w:numPr>
          <w:ilvl w:val="0"/>
          <w:numId w:val="3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nie uprawnia do udzielania sublicencji, </w:t>
      </w:r>
    </w:p>
    <w:p>
      <w:pPr>
        <w:pStyle w:val="Normal"/>
        <w:numPr>
          <w:ilvl w:val="0"/>
          <w:numId w:val="33"/>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ma charakter nieprzenoszalny.</w:t>
      </w:r>
    </w:p>
    <w:p>
      <w:pPr>
        <w:pStyle w:val="Normal"/>
        <w:numPr>
          <w:ilvl w:val="0"/>
          <w:numId w:val="26"/>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Licencjobiorca</w:t>
      </w:r>
      <w:r>
        <w:rPr>
          <w:rFonts w:cs="Calibri" w:ascii="Calibri" w:hAnsi="Calibri" w:asciiTheme="minorHAnsi" w:cstheme="minorHAnsi" w:hAnsiTheme="minorHAnsi"/>
          <w:color w:val="000000"/>
          <w:sz w:val="18"/>
          <w:szCs w:val="18"/>
        </w:rPr>
        <w:t xml:space="preserve"> nie jest uprawniony do:</w:t>
      </w:r>
    </w:p>
    <w:p>
      <w:pPr>
        <w:pStyle w:val="Normal"/>
        <w:numPr>
          <w:ilvl w:val="0"/>
          <w:numId w:val="34"/>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modyfikowania, rozszerzania, rozbudowywania lub tłumaczenia Oprogramowania lub Dokumentacji Użytkownika, jak również rozdzielania ich części;</w:t>
      </w:r>
    </w:p>
    <w:p>
      <w:pPr>
        <w:pStyle w:val="Normal"/>
        <w:numPr>
          <w:ilvl w:val="0"/>
          <w:numId w:val="34"/>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dokonywania jakichkolwiek modyfikacji Oprogramowania, w tym jego dekompilacji, deasemblacji, reverse engineering oraz jakiejkolwiek ingerencji w kod źródłowy lub kod wynikowy Oprogramowania;</w:t>
      </w:r>
    </w:p>
    <w:p>
      <w:pPr>
        <w:pStyle w:val="Normal"/>
        <w:numPr>
          <w:ilvl w:val="0"/>
          <w:numId w:val="34"/>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rozpowszechniania Oprogramowania, udzielania dalszej licencji, dzierżawy, użyczenia lub najmu, w tym do zbywania Oprogramowania, towarzyszących mu materiałów, w tym Dokumentacji Użytkownika, bez uprzedniej pisemnej zgody Licencjodawcy;</w:t>
      </w:r>
    </w:p>
    <w:p>
      <w:pPr>
        <w:pStyle w:val="Normal"/>
        <w:numPr>
          <w:ilvl w:val="0"/>
          <w:numId w:val="34"/>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usuwania bądź zmiany znaków handlowych i informacji o Licencjodawcy, w Oprogramowaniu lub materiałach towarzyszących, w tym Dokumentacji Użytkownika.</w:t>
      </w:r>
    </w:p>
    <w:p>
      <w:pPr>
        <w:pStyle w:val="Normal"/>
        <w:numPr>
          <w:ilvl w:val="0"/>
          <w:numId w:val="26"/>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Licencjobiorca uprawniony jest do korzystania z Oprogramowania zgodnie z przeznaczeniem Oprogramowania oraz jest odpowiedzialny za zapewnienie prawidłowych warunków technicznych do działania Oprogramowania, w tym </w:t>
        <w:br/>
        <w:t>za poprawną pracę Infrastruktury Sprzętowej, ciągłość zasilania i regularność tworzenia kopii bezpieczeństwa danych.</w:t>
      </w:r>
    </w:p>
    <w:p>
      <w:pPr>
        <w:pStyle w:val="Normal"/>
        <w:numPr>
          <w:ilvl w:val="0"/>
          <w:numId w:val="26"/>
        </w:numPr>
        <w:suppressAutoHyphens w:val="true"/>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Wszystkie nowe składniki i funkcje Oprogramowania, które zostaną zmodyfikowane lub powstaną w przyszłości zostaną objęte niniejszą Licencją, o ile zostaną Licencjobiorcy udostępnione przez Licencjodawcę.</w:t>
      </w:r>
    </w:p>
    <w:p>
      <w:pPr>
        <w:pStyle w:val="Normal"/>
        <w:numPr>
          <w:ilvl w:val="0"/>
          <w:numId w:val="26"/>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sz w:val="18"/>
          <w:szCs w:val="18"/>
        </w:rPr>
        <w:t xml:space="preserve">Z zastrzeżeniem uprawnień przewidzianych w art. 75 ust. 2 i 3 ustawy z dnia 4 lutego 1994 r. </w:t>
      </w:r>
      <w:r>
        <w:rPr>
          <w:rFonts w:cs="Calibri" w:ascii="Calibri" w:hAnsi="Calibri" w:asciiTheme="minorHAnsi" w:cstheme="minorHAnsi" w:hAnsiTheme="minorHAnsi"/>
          <w:i/>
          <w:sz w:val="18"/>
          <w:szCs w:val="18"/>
        </w:rPr>
        <w:t>o Prawie autorskim i prawach pokrewnych</w:t>
      </w:r>
      <w:r>
        <w:rPr>
          <w:rFonts w:cs="Calibri" w:ascii="Calibri" w:hAnsi="Calibri" w:asciiTheme="minorHAnsi" w:cstheme="minorHAnsi" w:hAnsiTheme="minorHAnsi"/>
          <w:sz w:val="18"/>
          <w:szCs w:val="18"/>
        </w:rPr>
        <w:t xml:space="preserve">, czynności wymienione w </w:t>
      </w:r>
      <w:hyperlink r:id="rId2">
        <w:r>
          <w:rPr>
            <w:rFonts w:cs="Calibri" w:ascii="Calibri" w:hAnsi="Calibri" w:asciiTheme="minorHAnsi" w:cstheme="minorHAnsi" w:hAnsiTheme="minorHAnsi"/>
            <w:sz w:val="18"/>
            <w:szCs w:val="18"/>
          </w:rPr>
          <w:t>art. 74 ust. 4 pkt 1 i 2</w:t>
        </w:r>
      </w:hyperlink>
      <w:r>
        <w:rPr>
          <w:rFonts w:cs="Calibri" w:ascii="Calibri" w:hAnsi="Calibri" w:asciiTheme="minorHAnsi" w:cstheme="minorHAnsi" w:hAnsiTheme="minorHAnsi"/>
          <w:sz w:val="18"/>
          <w:szCs w:val="18"/>
        </w:rPr>
        <w:t xml:space="preserve"> ww. ustawy wymagają zgody Licencjodawcy. </w:t>
      </w:r>
    </w:p>
    <w:p>
      <w:pPr>
        <w:pStyle w:val="Normal"/>
        <w:numPr>
          <w:ilvl w:val="0"/>
          <w:numId w:val="26"/>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Licencja obejmuje: </w:t>
      </w:r>
    </w:p>
    <w:p>
      <w:pPr>
        <w:pStyle w:val="Normal"/>
        <w:numPr>
          <w:ilvl w:val="0"/>
          <w:numId w:val="32"/>
        </w:numPr>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OGRANICZENIA LICENCYJNE</w:t>
      </w:r>
    </w:p>
    <w:p>
      <w:pPr>
        <w:pStyle w:val="Normal"/>
        <w:numPr>
          <w:ilvl w:val="0"/>
          <w:numId w:val="27"/>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Niniejsza Licencja obejmuje: </w:t>
      </w:r>
    </w:p>
    <w:tbl>
      <w:tblPr>
        <w:tblW w:w="9141" w:type="dxa"/>
        <w:jc w:val="left"/>
        <w:tblInd w:w="210" w:type="dxa"/>
        <w:tblLayout w:type="fixed"/>
        <w:tblCellMar>
          <w:top w:w="0" w:type="dxa"/>
          <w:left w:w="108" w:type="dxa"/>
          <w:bottom w:w="0" w:type="dxa"/>
          <w:right w:w="108" w:type="dxa"/>
        </w:tblCellMar>
        <w:tblLook w:firstRow="1" w:noVBand="1" w:lastRow="0" w:firstColumn="1" w:lastColumn="0" w:noHBand="0" w:val="04a0"/>
      </w:tblPr>
      <w:tblGrid>
        <w:gridCol w:w="465"/>
        <w:gridCol w:w="3258"/>
        <w:gridCol w:w="2158"/>
        <w:gridCol w:w="1983"/>
        <w:gridCol w:w="1277"/>
      </w:tblGrid>
      <w:tr>
        <w:trPr>
          <w:trHeight w:val="380" w:hRule="atLeast"/>
        </w:trPr>
        <w:tc>
          <w:tcPr>
            <w:tcW w:w="465" w:type="dxa"/>
            <w:tcBorders>
              <w:top w:val="single" w:sz="4" w:space="0" w:color="000000"/>
              <w:left w:val="single" w:sz="4" w:space="0" w:color="000000"/>
              <w:bottom w:val="single" w:sz="4" w:space="0" w:color="000000"/>
            </w:tcBorders>
            <w:shd w:color="auto" w:fill="D9D9D9" w:val="clear"/>
            <w:vAlign w:val="center"/>
          </w:tcPr>
          <w:p>
            <w:pPr>
              <w:pStyle w:val="Standard"/>
              <w:widowControl w:val="false"/>
              <w:spacing w:before="60" w:after="60"/>
              <w:rPr>
                <w:rFonts w:ascii="Calibri" w:hAnsi="Calibri" w:cs="Calibri" w:asciiTheme="minorHAnsi" w:cstheme="minorHAnsi" w:hAnsiTheme="minorHAnsi"/>
                <w:b/>
                <w:bCs/>
                <w:iCs/>
                <w:sz w:val="18"/>
                <w:szCs w:val="18"/>
                <w:lang w:val="pl-PL"/>
              </w:rPr>
            </w:pPr>
            <w:r>
              <w:rPr>
                <w:rFonts w:cs="Calibri" w:ascii="Calibri" w:hAnsi="Calibri" w:asciiTheme="minorHAnsi" w:cstheme="minorHAnsi" w:hAnsiTheme="minorHAnsi"/>
                <w:b/>
                <w:bCs/>
                <w:iCs/>
                <w:sz w:val="18"/>
                <w:szCs w:val="18"/>
                <w:lang w:val="pl-PL"/>
              </w:rPr>
              <w:t>Lp.</w:t>
            </w:r>
          </w:p>
        </w:tc>
        <w:tc>
          <w:tcPr>
            <w:tcW w:w="325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60" w:after="60"/>
              <w:rPr>
                <w:rFonts w:ascii="Calibri" w:hAnsi="Calibri" w:cs="Calibri" w:asciiTheme="minorHAnsi" w:cstheme="minorHAnsi" w:hAnsiTheme="minorHAnsi"/>
                <w:b/>
                <w:bCs/>
                <w:iCs/>
                <w:sz w:val="18"/>
                <w:szCs w:val="18"/>
                <w:lang w:val="pl-PL"/>
              </w:rPr>
            </w:pPr>
            <w:r>
              <w:rPr>
                <w:rFonts w:cs="Calibri" w:ascii="Calibri" w:hAnsi="Calibri" w:asciiTheme="minorHAnsi" w:cstheme="minorHAnsi" w:hAnsiTheme="minorHAnsi"/>
                <w:b/>
                <w:bCs/>
                <w:iCs/>
                <w:sz w:val="18"/>
                <w:szCs w:val="18"/>
                <w:lang w:val="pl-PL"/>
              </w:rPr>
              <w:t>Nazwa</w:t>
            </w:r>
          </w:p>
        </w:tc>
        <w:tc>
          <w:tcPr>
            <w:tcW w:w="2158" w:type="dxa"/>
            <w:tcBorders>
              <w:top w:val="single" w:sz="4" w:space="0" w:color="000000"/>
              <w:left w:val="single" w:sz="4" w:space="0" w:color="000000"/>
              <w:bottom w:val="single" w:sz="4" w:space="0" w:color="000000"/>
            </w:tcBorders>
            <w:shd w:color="auto" w:fill="D9D9D9" w:val="clear"/>
            <w:tcMar>
              <w:left w:w="10" w:type="dxa"/>
              <w:right w:w="10" w:type="dxa"/>
            </w:tcMar>
            <w:vAlign w:val="center"/>
          </w:tcPr>
          <w:p>
            <w:pPr>
              <w:pStyle w:val="Standard"/>
              <w:widowControl w:val="false"/>
              <w:spacing w:before="60" w:after="60"/>
              <w:ind w:left="132" w:hanging="0"/>
              <w:rPr>
                <w:rFonts w:ascii="Calibri" w:hAnsi="Calibri" w:cs="Calibri" w:asciiTheme="minorHAnsi" w:cstheme="minorHAnsi" w:hAnsiTheme="minorHAnsi"/>
                <w:b/>
                <w:bCs/>
                <w:iCs/>
                <w:sz w:val="18"/>
                <w:szCs w:val="18"/>
                <w:lang w:val="pl-PL"/>
              </w:rPr>
            </w:pPr>
            <w:r>
              <w:rPr>
                <w:rFonts w:cs="Calibri" w:ascii="Calibri" w:hAnsi="Calibri" w:asciiTheme="minorHAnsi" w:cstheme="minorHAnsi" w:hAnsiTheme="minorHAnsi"/>
                <w:b/>
                <w:sz w:val="18"/>
                <w:szCs w:val="18"/>
                <w:lang w:val="pl-PL"/>
              </w:rPr>
              <w:t>Rodzaj Licencji</w:t>
            </w:r>
          </w:p>
        </w:tc>
        <w:tc>
          <w:tcPr>
            <w:tcW w:w="1983" w:type="dxa"/>
            <w:tcBorders>
              <w:top w:val="single" w:sz="4" w:space="0" w:color="000000"/>
              <w:left w:val="single" w:sz="4" w:space="0" w:color="000000"/>
              <w:bottom w:val="single" w:sz="4" w:space="0" w:color="000000"/>
              <w:right w:val="single" w:sz="4" w:space="0" w:color="000000"/>
            </w:tcBorders>
            <w:shd w:color="auto" w:fill="D9D9D9" w:val="clear"/>
            <w:tcMar>
              <w:left w:w="10" w:type="dxa"/>
              <w:right w:w="10" w:type="dxa"/>
            </w:tcMar>
          </w:tcPr>
          <w:p>
            <w:pPr>
              <w:pStyle w:val="Standard"/>
              <w:widowControl w:val="false"/>
              <w:spacing w:before="60" w:after="60"/>
              <w:rPr>
                <w:rFonts w:ascii="Calibri" w:hAnsi="Calibri" w:cs="Calibri" w:asciiTheme="minorHAnsi" w:cstheme="minorHAnsi" w:hAnsiTheme="minorHAnsi"/>
                <w:b/>
                <w:bCs/>
                <w:iCs/>
                <w:sz w:val="18"/>
                <w:szCs w:val="18"/>
                <w:lang w:val="pl-PL"/>
              </w:rPr>
            </w:pPr>
            <w:r>
              <w:rPr>
                <w:rFonts w:cs="Calibri" w:ascii="Calibri" w:hAnsi="Calibri" w:asciiTheme="minorHAnsi" w:cstheme="minorHAnsi" w:hAnsiTheme="minorHAnsi"/>
                <w:b/>
                <w:bCs/>
                <w:iCs/>
                <w:sz w:val="18"/>
                <w:szCs w:val="18"/>
                <w:lang w:val="pl-PL"/>
              </w:rPr>
              <w:t>Typ Licencji</w:t>
            </w:r>
          </w:p>
        </w:tc>
        <w:tc>
          <w:tcPr>
            <w:tcW w:w="12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60" w:after="60"/>
              <w:rPr>
                <w:rFonts w:ascii="Calibri" w:hAnsi="Calibri" w:cs="Calibri" w:asciiTheme="minorHAnsi" w:cstheme="minorHAnsi" w:hAnsiTheme="minorHAnsi"/>
                <w:b/>
                <w:bCs/>
                <w:iCs/>
                <w:sz w:val="18"/>
                <w:szCs w:val="18"/>
                <w:lang w:val="pl-PL"/>
              </w:rPr>
            </w:pPr>
            <w:r>
              <w:rPr>
                <w:rFonts w:cs="Calibri" w:ascii="Calibri" w:hAnsi="Calibri" w:asciiTheme="minorHAnsi" w:cstheme="minorHAnsi" w:hAnsiTheme="minorHAnsi"/>
                <w:b/>
                <w:bCs/>
                <w:iCs/>
                <w:sz w:val="18"/>
                <w:szCs w:val="18"/>
                <w:lang w:val="pl-PL"/>
              </w:rPr>
              <w:t>Liczba Licencji</w:t>
            </w:r>
          </w:p>
        </w:tc>
      </w:tr>
      <w:tr>
        <w:trPr/>
        <w:tc>
          <w:tcPr>
            <w:tcW w:w="465" w:type="dxa"/>
            <w:tcBorders>
              <w:top w:val="single" w:sz="4" w:space="0" w:color="000000"/>
              <w:left w:val="single" w:sz="4" w:space="0" w:color="000000"/>
              <w:bottom w:val="single" w:sz="4" w:space="0" w:color="000000"/>
            </w:tcBorders>
            <w:shd w:color="auto" w:fill="D9D9D9" w:val="clear"/>
          </w:tcPr>
          <w:p>
            <w:pPr>
              <w:pStyle w:val="ListBullet3"/>
              <w:widowControl w:val="false"/>
              <w:numPr>
                <w:ilvl w:val="0"/>
                <w:numId w:val="73"/>
              </w:numPr>
              <w:suppressAutoHyphens w:val="true"/>
              <w:snapToGrid w:val="false"/>
              <w:spacing w:before="60" w:after="60"/>
              <w:ind w:left="216" w:right="34" w:hanging="216"/>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top w:val="single" w:sz="4" w:space="0" w:color="000000"/>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left w:val="single" w:sz="4" w:space="0" w:color="000000"/>
              <w:bottom w:val="single" w:sz="4" w:space="0" w:color="000000"/>
            </w:tcBorders>
            <w:shd w:color="auto" w:fill="D9D9D9" w:val="clear"/>
          </w:tcPr>
          <w:p>
            <w:pPr>
              <w:pStyle w:val="ListBullet3"/>
              <w:widowControl w:val="false"/>
              <w:numPr>
                <w:ilvl w:val="0"/>
                <w:numId w:val="74"/>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left w:val="single" w:sz="4" w:space="0" w:color="000000"/>
              <w:bottom w:val="single" w:sz="4" w:space="0" w:color="000000"/>
            </w:tcBorders>
            <w:shd w:color="auto" w:fill="D9D9D9" w:val="clear"/>
          </w:tcPr>
          <w:p>
            <w:pPr>
              <w:pStyle w:val="ListBullet3"/>
              <w:widowControl w:val="false"/>
              <w:numPr>
                <w:ilvl w:val="0"/>
                <w:numId w:val="75"/>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left w:val="single" w:sz="4" w:space="0" w:color="000000"/>
              <w:bottom w:val="single" w:sz="4" w:space="0" w:color="000000"/>
            </w:tcBorders>
            <w:shd w:color="auto" w:fill="D9D9D9" w:val="clear"/>
          </w:tcPr>
          <w:p>
            <w:pPr>
              <w:pStyle w:val="ListBullet3"/>
              <w:widowControl w:val="false"/>
              <w:numPr>
                <w:ilvl w:val="0"/>
                <w:numId w:val="76"/>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ind w:left="132" w:hanging="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jc w:val="center"/>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jc w:val="center"/>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top w:val="single" w:sz="4" w:space="0" w:color="000000"/>
              <w:left w:val="single" w:sz="4" w:space="0" w:color="000000"/>
              <w:bottom w:val="single" w:sz="4" w:space="0" w:color="000000"/>
            </w:tcBorders>
            <w:shd w:color="auto" w:fill="D9D9D9" w:val="clear"/>
          </w:tcPr>
          <w:p>
            <w:pPr>
              <w:pStyle w:val="ListBullet3"/>
              <w:widowControl w:val="false"/>
              <w:numPr>
                <w:ilvl w:val="0"/>
                <w:numId w:val="77"/>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top w:val="single" w:sz="4" w:space="0" w:color="000000"/>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rHeight w:val="258" w:hRule="atLeast"/>
        </w:trPr>
        <w:tc>
          <w:tcPr>
            <w:tcW w:w="465" w:type="dxa"/>
            <w:tcBorders>
              <w:left w:val="single" w:sz="4" w:space="0" w:color="000000"/>
              <w:bottom w:val="single" w:sz="4" w:space="0" w:color="000000"/>
            </w:tcBorders>
            <w:shd w:color="auto" w:fill="D9D9D9" w:val="clear"/>
          </w:tcPr>
          <w:p>
            <w:pPr>
              <w:pStyle w:val="ListBullet3"/>
              <w:widowControl w:val="false"/>
              <w:numPr>
                <w:ilvl w:val="0"/>
                <w:numId w:val="78"/>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left w:val="single" w:sz="4" w:space="0" w:color="000000"/>
              <w:bottom w:val="single" w:sz="4" w:space="0" w:color="000000"/>
            </w:tcBorders>
            <w:shd w:color="auto" w:fill="D9D9D9" w:val="clear"/>
          </w:tcPr>
          <w:p>
            <w:pPr>
              <w:pStyle w:val="ListBullet3"/>
              <w:widowControl w:val="false"/>
              <w:numPr>
                <w:ilvl w:val="0"/>
                <w:numId w:val="79"/>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left w:val="single" w:sz="4" w:space="0" w:color="000000"/>
              <w:bottom w:val="single" w:sz="4" w:space="0" w:color="000000"/>
            </w:tcBorders>
            <w:shd w:color="auto" w:fill="D9D9D9" w:val="clear"/>
          </w:tcPr>
          <w:p>
            <w:pPr>
              <w:pStyle w:val="ListBullet3"/>
              <w:widowControl w:val="false"/>
              <w:numPr>
                <w:ilvl w:val="0"/>
                <w:numId w:val="80"/>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left w:val="single" w:sz="4" w:space="0" w:color="000000"/>
              <w:bottom w:val="single" w:sz="4" w:space="0" w:color="000000"/>
            </w:tcBorders>
            <w:shd w:color="auto" w:fill="D9D9D9" w:val="clear"/>
          </w:tcPr>
          <w:p>
            <w:pPr>
              <w:pStyle w:val="ListBullet3"/>
              <w:widowControl w:val="false"/>
              <w:numPr>
                <w:ilvl w:val="0"/>
                <w:numId w:val="81"/>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left w:val="single" w:sz="4" w:space="0" w:color="000000"/>
              <w:bottom w:val="single" w:sz="4" w:space="0" w:color="000000"/>
            </w:tcBorders>
            <w:tcMar>
              <w:left w:w="10" w:type="dxa"/>
              <w:right w:w="10" w:type="dxa"/>
            </w:tcMar>
            <w:vAlign w:val="center"/>
          </w:tcPr>
          <w:p>
            <w:pPr>
              <w:pStyle w:val="Standard"/>
              <w:widowControl w:val="false"/>
              <w:spacing w:before="60" w:after="60"/>
              <w:ind w:left="132" w:hanging="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top w:val="single" w:sz="4" w:space="0" w:color="000000"/>
              <w:left w:val="single" w:sz="4" w:space="0" w:color="000000"/>
              <w:bottom w:val="single" w:sz="4" w:space="0" w:color="000000"/>
            </w:tcBorders>
            <w:shd w:color="auto" w:fill="D9D9D9" w:val="clear"/>
          </w:tcPr>
          <w:p>
            <w:pPr>
              <w:pStyle w:val="ListBullet3"/>
              <w:widowControl w:val="false"/>
              <w:numPr>
                <w:ilvl w:val="0"/>
                <w:numId w:val="82"/>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top w:val="single" w:sz="4" w:space="0" w:color="000000"/>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65" w:type="dxa"/>
            <w:tcBorders>
              <w:top w:val="single" w:sz="4" w:space="0" w:color="000000"/>
              <w:left w:val="single" w:sz="4" w:space="0" w:color="000000"/>
              <w:bottom w:val="single" w:sz="4" w:space="0" w:color="000000"/>
            </w:tcBorders>
            <w:shd w:color="auto" w:fill="D9D9D9" w:val="clear"/>
          </w:tcPr>
          <w:p>
            <w:pPr>
              <w:pStyle w:val="ListBullet3"/>
              <w:widowControl w:val="false"/>
              <w:numPr>
                <w:ilvl w:val="0"/>
                <w:numId w:val="83"/>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top w:val="single" w:sz="4" w:space="0" w:color="000000"/>
              <w:left w:val="single" w:sz="4" w:space="0" w:color="000000"/>
              <w:bottom w:val="single" w:sz="4" w:space="0" w:color="000000"/>
            </w:tcBorders>
            <w:tcMar>
              <w:left w:w="10" w:type="dxa"/>
              <w:right w:w="10" w:type="dxa"/>
            </w:tcMar>
            <w:vAlign w:val="center"/>
          </w:tcPr>
          <w:p>
            <w:pPr>
              <w:pStyle w:val="Standard"/>
              <w:widowControl w:val="false"/>
              <w:spacing w:before="60" w:after="60"/>
              <w:ind w:left="132" w:hanging="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rHeight w:val="224" w:hRule="atLeast"/>
        </w:trPr>
        <w:tc>
          <w:tcPr>
            <w:tcW w:w="465" w:type="dxa"/>
            <w:tcBorders>
              <w:top w:val="single" w:sz="4" w:space="0" w:color="000000"/>
              <w:left w:val="single" w:sz="4" w:space="0" w:color="000000"/>
              <w:bottom w:val="single" w:sz="4" w:space="0" w:color="000000"/>
            </w:tcBorders>
            <w:shd w:color="auto" w:fill="D9D9D9" w:val="clear"/>
          </w:tcPr>
          <w:p>
            <w:pPr>
              <w:pStyle w:val="ListBullet3"/>
              <w:widowControl w:val="false"/>
              <w:numPr>
                <w:ilvl w:val="0"/>
                <w:numId w:val="84"/>
              </w:numPr>
              <w:suppressAutoHyphens w:val="true"/>
              <w:snapToGrid w:val="false"/>
              <w:spacing w:before="60" w:after="60"/>
              <w:ind w:left="360" w:hanging="360"/>
              <w:contextualSpacing w:val="false"/>
              <w:jc w:val="both"/>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3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2158" w:type="dxa"/>
            <w:tcBorders>
              <w:top w:val="single" w:sz="4" w:space="0" w:color="000000"/>
              <w:left w:val="single" w:sz="4" w:space="0" w:color="000000"/>
              <w:bottom w:val="single" w:sz="4" w:space="0" w:color="000000"/>
            </w:tcBorders>
            <w:tcMar>
              <w:left w:w="10" w:type="dxa"/>
              <w:right w:w="10" w:type="dxa"/>
            </w:tcMar>
            <w:vAlign w:val="cente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9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bl>
    <w:p>
      <w:pPr>
        <w:pStyle w:val="Normal"/>
        <w:numPr>
          <w:ilvl w:val="0"/>
          <w:numId w:val="27"/>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Licencjobiorca ma prawo do korzystania z Dokumentacji Użytkownika bez ograniczeń odnoszących się liczby kopii oraz użytkowników upoważnionych do korzystania z Dokumentacji Użytkownika tak długo, jak długo obowiązuje niniejsza Licencja.</w:t>
      </w:r>
    </w:p>
    <w:p>
      <w:pPr>
        <w:pStyle w:val="Normal"/>
        <w:spacing w:before="60" w:after="60"/>
        <w:ind w:left="363" w:hanging="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V.    SPORZĄDZANIE KOPII</w:t>
      </w:r>
    </w:p>
    <w:p>
      <w:pPr>
        <w:pStyle w:val="Normal"/>
        <w:numPr>
          <w:ilvl w:val="0"/>
          <w:numId w:val="47"/>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Licencjobiorca może sporządzać kopie Oprogramowania bez ograniczeń wyłącznie dla celów bezpieczeństwa. Niedopuszczalne jest instalowanie lub używanie kopii równocześnie z używaniem Oprogramowania.</w:t>
      </w:r>
    </w:p>
    <w:p>
      <w:pPr>
        <w:pStyle w:val="Normal"/>
        <w:numPr>
          <w:ilvl w:val="0"/>
          <w:numId w:val="47"/>
        </w:numPr>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color w:val="000000"/>
          <w:sz w:val="18"/>
          <w:szCs w:val="18"/>
        </w:rPr>
        <w:t xml:space="preserve">Licencja obejmuje zezwolenia na kopiowanie Dokumentacji Użytkownika dostarczonej wraz z Oprogramowaniem </w:t>
        <w:br/>
        <w:t>bez ograniczeń wyłącznie dla celów związanych z korzystaniem z Oprogramowania.</w:t>
      </w:r>
    </w:p>
    <w:p>
      <w:pPr>
        <w:pStyle w:val="Normal"/>
        <w:tabs>
          <w:tab w:val="clear" w:pos="709"/>
          <w:tab w:val="left" w:pos="360" w:leader="none"/>
          <w:tab w:val="left" w:pos="540" w:leader="none"/>
        </w:tabs>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VI.     ODPOWIEDZIALNOŚĆ LICENCJODAWCY</w:t>
      </w:r>
    </w:p>
    <w:p>
      <w:pPr>
        <w:pStyle w:val="Normal"/>
        <w:numPr>
          <w:ilvl w:val="0"/>
          <w:numId w:val="40"/>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Licencjodawca ponosi odpowiedzialność wobec Licencjobiorcy na podstawie niniejszej licencji wyłącznie za szkody powstałe z winy umyślnej Licencjodawcy.</w:t>
      </w:r>
    </w:p>
    <w:p>
      <w:pPr>
        <w:pStyle w:val="Normal"/>
        <w:numPr>
          <w:ilvl w:val="0"/>
          <w:numId w:val="40"/>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Licencjodawca nie ponosi odpowiedzialności za szkody związane z korzystaniem </w:t>
        <w:br/>
        <w:t xml:space="preserve">z oprogramowania, w tym również za ewentualną utratę informacji, danych lub szkodę, stanowiące następstwo używania lub braku możliwości używania oprogramowania lub dokumentacji użytkownika. </w:t>
      </w:r>
    </w:p>
    <w:p>
      <w:pPr>
        <w:pStyle w:val="Normal"/>
        <w:numPr>
          <w:ilvl w:val="0"/>
          <w:numId w:val="40"/>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 xml:space="preserve">Licencjodawca nie jest w szczególności odpowiedzialny za jakiekolwiek dane zarejestrowane, zapamiętane lub przetworzone za pomocą oprogramowania oraz za szkody związane z utratą tych danych. </w:t>
      </w:r>
    </w:p>
    <w:p>
      <w:pPr>
        <w:pStyle w:val="Normal"/>
        <w:numPr>
          <w:ilvl w:val="0"/>
          <w:numId w:val="40"/>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Licencjodawca nie jest administratorem danych w rozumieniu przepisów o ochronie danych osobowych.</w:t>
      </w:r>
    </w:p>
    <w:p>
      <w:pPr>
        <w:pStyle w:val="Normal"/>
        <w:numPr>
          <w:ilvl w:val="0"/>
          <w:numId w:val="40"/>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Licencja nie ogranicza ani nie wyłącza odpowiedzialności licencjodawcy wynikającej z odrębnych umów, w tym z  gwarancji na oprogramowanie w przypadku jej udzielenia.</w:t>
      </w:r>
    </w:p>
    <w:p>
      <w:pPr>
        <w:pStyle w:val="Normal"/>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VII.      NARUSZENIE WARUNKÓW LICENCYJNYCH</w:t>
      </w:r>
    </w:p>
    <w:p>
      <w:pPr>
        <w:pStyle w:val="Normal"/>
        <w:numPr>
          <w:ilvl w:val="2"/>
          <w:numId w:val="29"/>
        </w:numPr>
        <w:spacing w:before="60" w:after="6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wypadku naruszenia przez Licencjobiorcę warunków zawartych w niniejszej Licencji, Licencjodawcy przysługuje prawo do wypowiedzenia Licencji ze skutkiem natychmiastowym, po uprzednim, jednokrotnym i bezskutecznym wezwaniu Licencjobiorcy do zaniechania i naprawienia naruszeń, w dodatkowym terminie wskazanym przez Licencjodawcę w pisemnym wezwaniu.</w:t>
      </w:r>
    </w:p>
    <w:p>
      <w:pPr>
        <w:pStyle w:val="Normal"/>
        <w:numPr>
          <w:ilvl w:val="2"/>
          <w:numId w:val="29"/>
        </w:numPr>
        <w:spacing w:before="60" w:after="6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przypadku wypowiedzenia Licencji, Licencjobiorca zobowiązany jest zaprzestać korzystania z Oprogramowania i niezwłocznie zniszczyć lub zwrócić Licencjodawcy wszystkie jej egzemplarze i kopie wraz z Dokumentacją Użytkownika.</w:t>
      </w:r>
    </w:p>
    <w:p>
      <w:pPr>
        <w:pStyle w:val="Normal"/>
        <w:numPr>
          <w:ilvl w:val="2"/>
          <w:numId w:val="29"/>
        </w:numPr>
        <w:spacing w:before="60" w:after="6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Licencjodawca ma prawo do kontroli i ochrony praw autorskich poprzez stosowanie mechanizmów sprawdzania legalności kluczy seryjnych lub licencyjnych oraz oznaczeń identyfikacyjnych instalacji.</w:t>
      </w:r>
    </w:p>
    <w:p>
      <w:pPr>
        <w:pStyle w:val="Normal"/>
        <w:numPr>
          <w:ilvl w:val="2"/>
          <w:numId w:val="29"/>
        </w:numPr>
        <w:spacing w:before="60" w:after="6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Wszelkie prawa autorskie przekraczające zakres udzielonej Licencjobiorcy Licencji są chronione. Naruszenie warunków Licencji przez Licencjobiorcę upoważnia Licencjodawcę do dochodzenia swych praw zgodnie z prawem autorskim, Kodeksem cywilnym i karnym.</w:t>
      </w:r>
    </w:p>
    <w:p>
      <w:pPr>
        <w:pStyle w:val="Normal"/>
        <w:tabs>
          <w:tab w:val="clear" w:pos="709"/>
          <w:tab w:val="left" w:pos="540" w:leader="none"/>
        </w:tabs>
        <w:spacing w:before="60" w:after="60"/>
        <w:jc w:val="both"/>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VIII.      POSTANOWIENIA KOŃCOWE</w:t>
      </w:r>
    </w:p>
    <w:p>
      <w:pPr>
        <w:pStyle w:val="Normal"/>
        <w:numPr>
          <w:ilvl w:val="0"/>
          <w:numId w:val="28"/>
        </w:numPr>
        <w:spacing w:before="60" w:after="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Jeżeli jakakolwiek część niniejszej Licencji będzie nieważna lub niewykonalna, pozostanie to bez wpływu na pozostałą część Licencji, która będzie nadal ważna i wykonalna zgodnie z jej warunkami. </w:t>
      </w:r>
    </w:p>
    <w:p>
      <w:pPr>
        <w:pStyle w:val="Normal"/>
        <w:numPr>
          <w:ilvl w:val="0"/>
          <w:numId w:val="28"/>
        </w:numPr>
        <w:spacing w:before="60" w:after="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Wszelkie zmiany do niniejszej Licencji wymagają formy pisemnej (pod rygorem nieważności) i podpisu upoważnionego przedstawiciela Licencjodawcy. </w:t>
      </w:r>
    </w:p>
    <w:p>
      <w:pPr>
        <w:pStyle w:val="Normal"/>
        <w:numPr>
          <w:ilvl w:val="0"/>
          <w:numId w:val="28"/>
        </w:numPr>
        <w:spacing w:before="60" w:after="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W przypadku wątpliwości, co do zasad użytkowania Oprogramowania lub Dokumentacji Użytkownika, Licencjobiorca powinien zgłosić się do </w:t>
      </w:r>
      <w:r>
        <w:rPr>
          <w:rFonts w:cs="Calibri" w:ascii="Calibri" w:hAnsi="Calibri" w:asciiTheme="minorHAnsi" w:cstheme="minorHAnsi" w:hAnsiTheme="minorHAnsi"/>
          <w:bCs/>
          <w:spacing w:val="-3"/>
          <w:sz w:val="18"/>
          <w:szCs w:val="18"/>
        </w:rPr>
        <w:t>Licencjodawcy</w:t>
      </w:r>
      <w:r>
        <w:rPr>
          <w:rFonts w:cs="Calibri" w:ascii="Calibri" w:hAnsi="Calibri" w:asciiTheme="minorHAnsi" w:cstheme="minorHAnsi" w:hAnsiTheme="minorHAnsi"/>
          <w:sz w:val="18"/>
          <w:szCs w:val="18"/>
        </w:rPr>
        <w:t xml:space="preserve"> w celu uzyskania pisemnych wyjaśnień. Wszelkie pytania związane z niniejszą Licencją lub prośby o dodatkowe informacje należy zgłaszać na adres siedziby Licencjodawcy. </w:t>
      </w:r>
    </w:p>
    <w:p>
      <w:pPr>
        <w:pStyle w:val="Normal"/>
        <w:numPr>
          <w:ilvl w:val="0"/>
          <w:numId w:val="28"/>
        </w:numPr>
        <w:spacing w:before="60" w:after="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Licencjodawca jest wyłącznym właścicielem praw, tytułów i znaków towarowych dotyczących Oprogramowania oraz Dokumentacji Użytkownika (Znaki Towarowe). Licencjobiorca nie otrzymuje żadnych praw, tytułów ani licencji na Znaki Towarowe Licencjodawcy.</w:t>
      </w:r>
    </w:p>
    <w:p>
      <w:pPr>
        <w:pStyle w:val="Normal"/>
        <w:numPr>
          <w:ilvl w:val="0"/>
          <w:numId w:val="28"/>
        </w:numPr>
        <w:spacing w:before="60" w:after="6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Poza wyraźnie określonymi w Licencji prawami, Licencjodawca nie przyznaje Licencjobiorcy jakichkolwiek innych praw ani w sposób wyraźny, ani jakiekolwiek inny. Wszelkie prawa autorskie przekraczające zakres udzielonej Licencjobiorcy Licencji są chronione.</w:t>
      </w:r>
    </w:p>
    <w:p>
      <w:pPr>
        <w:pStyle w:val="Normal"/>
        <w:numPr>
          <w:ilvl w:val="0"/>
          <w:numId w:val="28"/>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 sprawach nieuregulowanych Licencją mają zastosowanie przepisy prawa polskiego.</w:t>
      </w:r>
    </w:p>
    <w:p>
      <w:pPr>
        <w:pStyle w:val="Normal"/>
        <w:numPr>
          <w:ilvl w:val="0"/>
          <w:numId w:val="28"/>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Spory wynikające z niniejszej Licencji poddane są pod rozstrzygnięcie właściwego sądu powszechnego dla siedziby Licencjodawcy.</w:t>
      </w:r>
    </w:p>
    <w:p>
      <w:pPr>
        <w:pStyle w:val="Normal"/>
        <w:numPr>
          <w:ilvl w:val="0"/>
          <w:numId w:val="28"/>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Niniejsza Licencja wchodzi w życie z dniem pierwszego uruchomienia Oprogramowania.</w:t>
      </w:r>
    </w:p>
    <w:p>
      <w:pPr>
        <w:pStyle w:val="Normal"/>
        <w:numPr>
          <w:ilvl w:val="0"/>
          <w:numId w:val="28"/>
        </w:numPr>
        <w:spacing w:before="60" w:after="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Licencja jest wiążąca dla Licencjobiorcy tak samo, jak każda pisemna umowa wynegocjowana i podpisana przez Licencjobiorcę. Jeżeli Licencjobiorca nie zgadza się na warunki Licencji, nie ma prawa do korzystania z Oprogramowania ani Dokumentacji Użytkownika.</w:t>
      </w:r>
    </w:p>
    <w:p>
      <w:pPr>
        <w:pStyle w:val="BodyText2"/>
        <w:spacing w:before="120" w:after="120"/>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r>
        <w:br w:type="page"/>
      </w:r>
    </w:p>
    <w:p>
      <w:pPr>
        <w:pStyle w:val="Normal"/>
        <w:spacing w:before="120" w:after="120"/>
        <w:jc w:val="center"/>
        <w:rPr>
          <w:rFonts w:ascii="Calibri" w:hAnsi="Calibri" w:cs="Tahoma"/>
          <w:b/>
          <w:color w:val="000000"/>
          <w:sz w:val="18"/>
          <w:szCs w:val="18"/>
        </w:rPr>
      </w:pPr>
      <w:r>
        <w:rPr>
          <w:rFonts w:cs="Tahoma" w:ascii="Calibri" w:hAnsi="Calibri"/>
          <w:b/>
          <w:color w:val="000000"/>
          <w:sz w:val="18"/>
          <w:szCs w:val="18"/>
        </w:rPr>
        <w:t>ZAŁĄCZNIK NR 4</w:t>
      </w:r>
    </w:p>
    <w:p>
      <w:pPr>
        <w:pStyle w:val="Normal"/>
        <w:spacing w:before="120" w:after="120"/>
        <w:jc w:val="center"/>
        <w:rPr/>
      </w:pPr>
      <w:r>
        <w:rPr>
          <w:rFonts w:cs="Arial" w:ascii="Calibri" w:hAnsi="Calibri"/>
          <w:b/>
          <w:color w:val="000000"/>
          <w:sz w:val="18"/>
          <w:szCs w:val="18"/>
        </w:rPr>
        <w:t xml:space="preserve">DO UMOWY WDROŻENIOWEJ (NR </w:t>
      </w:r>
      <w:r>
        <w:rPr>
          <w:rFonts w:cs="Arial" w:ascii="Calibri" w:hAnsi="Calibri"/>
          <w:b/>
          <w:color w:val="000000"/>
          <w:sz w:val="18"/>
          <w:szCs w:val="18"/>
          <w:highlight w:val="yellow"/>
        </w:rPr>
        <w:t>____________________</w:t>
      </w:r>
      <w:r>
        <w:rPr>
          <w:rFonts w:cs="Arial" w:ascii="Calibri" w:hAnsi="Calibri"/>
          <w:b/>
          <w:color w:val="000000"/>
          <w:sz w:val="18"/>
          <w:szCs w:val="18"/>
        </w:rPr>
        <w:t>)</w:t>
      </w:r>
    </w:p>
    <w:p>
      <w:pPr>
        <w:pStyle w:val="Normal"/>
        <w:numPr>
          <w:ilvl w:val="0"/>
          <w:numId w:val="0"/>
        </w:numPr>
        <w:spacing w:before="120" w:after="120"/>
        <w:ind w:left="0" w:hanging="0"/>
        <w:jc w:val="center"/>
        <w:outlineLvl w:val="0"/>
        <w:rPr>
          <w:rFonts w:ascii="Calibri" w:hAnsi="Calibri" w:cs="Arial"/>
          <w:b/>
          <w:color w:val="000000"/>
          <w:sz w:val="18"/>
          <w:szCs w:val="18"/>
        </w:rPr>
      </w:pPr>
      <w:r>
        <w:rPr>
          <w:rFonts w:cs="Arial" w:ascii="Calibri" w:hAnsi="Calibri"/>
          <w:b/>
          <w:color w:val="000000"/>
          <w:sz w:val="18"/>
          <w:szCs w:val="18"/>
        </w:rPr>
        <w:t>GWARANCJA</w:t>
      </w:r>
    </w:p>
    <w:p>
      <w:pPr>
        <w:pStyle w:val="Normal"/>
        <w:numPr>
          <w:ilvl w:val="0"/>
          <w:numId w:val="0"/>
        </w:numPr>
        <w:spacing w:before="120" w:after="120"/>
        <w:ind w:left="0" w:hanging="0"/>
        <w:jc w:val="center"/>
        <w:outlineLvl w:val="0"/>
        <w:rPr>
          <w:rFonts w:ascii="Calibri" w:hAnsi="Calibri" w:cs="Arial"/>
          <w:b/>
          <w:color w:val="000000"/>
          <w:sz w:val="18"/>
          <w:szCs w:val="18"/>
        </w:rPr>
      </w:pPr>
      <w:r>
        <w:rPr>
          <w:rFonts w:cs="Arial" w:ascii="Calibri" w:hAnsi="Calibri"/>
          <w:b/>
          <w:color w:val="000000"/>
          <w:sz w:val="18"/>
          <w:szCs w:val="18"/>
        </w:rPr>
        <w:t>§ 1</w:t>
      </w:r>
    </w:p>
    <w:p>
      <w:pPr>
        <w:pStyle w:val="Normal"/>
        <w:numPr>
          <w:ilvl w:val="0"/>
          <w:numId w:val="37"/>
        </w:numPr>
        <w:spacing w:before="120" w:after="120"/>
        <w:jc w:val="both"/>
        <w:rPr>
          <w:rFonts w:ascii="Calibri" w:hAnsi="Calibri" w:cs="Arial"/>
          <w:color w:val="000000"/>
          <w:sz w:val="18"/>
          <w:szCs w:val="18"/>
        </w:rPr>
      </w:pPr>
      <w:r>
        <w:rPr>
          <w:rFonts w:cs="Arial" w:ascii="Calibri" w:hAnsi="Calibri"/>
          <w:color w:val="000000"/>
          <w:sz w:val="18"/>
          <w:szCs w:val="18"/>
        </w:rPr>
        <w:t xml:space="preserve">Wykonawca udziela Zamawiającemu Gwarancji obowiązującej przez okres </w:t>
      </w:r>
      <w:r>
        <w:rPr>
          <w:rFonts w:cs="Arial" w:ascii="Calibri" w:hAnsi="Calibri"/>
          <w:b/>
          <w:color w:val="000000"/>
          <w:sz w:val="18"/>
          <w:szCs w:val="18"/>
        </w:rPr>
        <w:t>12 (dwunastu) miesięcy</w:t>
      </w:r>
      <w:r>
        <w:rPr>
          <w:rFonts w:cs="Arial" w:ascii="Calibri" w:hAnsi="Calibri"/>
          <w:color w:val="000000"/>
          <w:sz w:val="18"/>
          <w:szCs w:val="18"/>
        </w:rPr>
        <w:t>. Bieg okresu świadczenia Gwarancji rozpoczyna się z dniem podpisania przez Strony Protokołu Odbioru Końcowego.</w:t>
      </w:r>
    </w:p>
    <w:p>
      <w:pPr>
        <w:pStyle w:val="Normal"/>
        <w:widowControl w:val="false"/>
        <w:numPr>
          <w:ilvl w:val="0"/>
          <w:numId w:val="37"/>
        </w:numPr>
        <w:spacing w:before="120" w:after="120"/>
        <w:jc w:val="both"/>
        <w:rPr>
          <w:rFonts w:ascii="Calibri" w:hAnsi="Calibri"/>
          <w:sz w:val="18"/>
          <w:szCs w:val="18"/>
        </w:rPr>
      </w:pPr>
      <w:r>
        <w:rPr>
          <w:rFonts w:ascii="Calibri" w:hAnsi="Calibri"/>
          <w:sz w:val="18"/>
          <w:szCs w:val="18"/>
        </w:rPr>
        <w:t>W okresie obowiązywania Gwarancji, Wykonawca zobowiązuje się do wykonywania napraw Systemu medycznego („</w:t>
      </w:r>
      <w:r>
        <w:rPr>
          <w:rFonts w:ascii="Calibri" w:hAnsi="Calibri"/>
          <w:b/>
          <w:sz w:val="18"/>
          <w:szCs w:val="18"/>
        </w:rPr>
        <w:t>Naprawy</w:t>
      </w:r>
      <w:r>
        <w:rPr>
          <w:rFonts w:ascii="Calibri" w:hAnsi="Calibri"/>
          <w:sz w:val="18"/>
          <w:szCs w:val="18"/>
        </w:rPr>
        <w:t xml:space="preserve">”) </w:t>
      </w:r>
      <w:r>
        <w:rPr>
          <w:rFonts w:cs="Tahoma" w:ascii="Calibri" w:hAnsi="Calibri"/>
          <w:sz w:val="18"/>
          <w:szCs w:val="18"/>
        </w:rPr>
        <w:t>oraz zapewnienia Zamawiającemu subskrypcji Systemu medycznego („</w:t>
      </w:r>
      <w:r>
        <w:rPr>
          <w:rFonts w:ascii="Calibri" w:hAnsi="Calibri"/>
          <w:b/>
          <w:sz w:val="18"/>
          <w:szCs w:val="18"/>
        </w:rPr>
        <w:t>Usługa Subskrypcji</w:t>
      </w:r>
      <w:r>
        <w:rPr>
          <w:rFonts w:cs="Tahoma" w:ascii="Calibri" w:hAnsi="Calibri"/>
          <w:sz w:val="18"/>
          <w:szCs w:val="18"/>
        </w:rPr>
        <w:t>”)</w:t>
      </w:r>
      <w:r>
        <w:rPr>
          <w:rFonts w:ascii="Calibri" w:hAnsi="Calibri"/>
          <w:sz w:val="18"/>
          <w:szCs w:val="18"/>
        </w:rPr>
        <w:t>.</w:t>
      </w:r>
    </w:p>
    <w:p>
      <w:pPr>
        <w:pStyle w:val="Normal"/>
        <w:widowControl w:val="false"/>
        <w:numPr>
          <w:ilvl w:val="0"/>
          <w:numId w:val="37"/>
        </w:numPr>
        <w:spacing w:before="120" w:after="120"/>
        <w:jc w:val="both"/>
        <w:rPr>
          <w:rFonts w:ascii="Calibri" w:hAnsi="Calibri"/>
          <w:sz w:val="18"/>
          <w:szCs w:val="18"/>
        </w:rPr>
      </w:pPr>
      <w:r>
        <w:rPr>
          <w:rFonts w:ascii="Calibri" w:hAnsi="Calibri"/>
          <w:sz w:val="18"/>
          <w:szCs w:val="18"/>
        </w:rPr>
        <w:t xml:space="preserve">Na potrzeby niniejszej Umowy poprzez: </w:t>
      </w:r>
    </w:p>
    <w:p>
      <w:pPr>
        <w:pStyle w:val="Normal"/>
        <w:widowControl w:val="false"/>
        <w:numPr>
          <w:ilvl w:val="1"/>
          <w:numId w:val="37"/>
        </w:numPr>
        <w:tabs>
          <w:tab w:val="clear" w:pos="709"/>
          <w:tab w:val="left" w:pos="720" w:leader="none"/>
        </w:tabs>
        <w:spacing w:before="120" w:after="120"/>
        <w:ind w:left="720" w:hanging="360"/>
        <w:jc w:val="both"/>
        <w:rPr>
          <w:rFonts w:ascii="Calibri" w:hAnsi="Calibri"/>
          <w:sz w:val="18"/>
          <w:szCs w:val="18"/>
        </w:rPr>
      </w:pPr>
      <w:r>
        <w:rPr>
          <w:rFonts w:ascii="Calibri" w:hAnsi="Calibri"/>
          <w:b/>
          <w:sz w:val="18"/>
          <w:szCs w:val="18"/>
        </w:rPr>
        <w:t>Naprawę</w:t>
      </w:r>
      <w:r>
        <w:rPr>
          <w:rFonts w:ascii="Calibri" w:hAnsi="Calibri"/>
          <w:sz w:val="18"/>
          <w:szCs w:val="18"/>
        </w:rPr>
        <w:t xml:space="preserve"> – rozumie się usuwanie przez Wykonawcę ujawnionych przez Zamawiającego wad </w:t>
      </w:r>
      <w:r>
        <w:rPr>
          <w:rFonts w:cs="Tahoma" w:ascii="Calibri" w:hAnsi="Calibri"/>
          <w:color w:val="000000"/>
          <w:sz w:val="18"/>
          <w:szCs w:val="18"/>
        </w:rPr>
        <w:t>Systemu medycznego</w:t>
      </w:r>
      <w:r>
        <w:rPr>
          <w:rFonts w:cs="Tahoma" w:ascii="Calibri" w:hAnsi="Calibri"/>
          <w:sz w:val="18"/>
          <w:szCs w:val="18"/>
        </w:rPr>
        <w:t>, unie</w:t>
      </w:r>
      <w:r>
        <w:rPr>
          <w:rFonts w:ascii="Calibri" w:hAnsi="Calibri"/>
          <w:sz w:val="18"/>
          <w:szCs w:val="18"/>
        </w:rPr>
        <w:t xml:space="preserve">możliwiających Zamawiającemu prawidłowe korzystanie z </w:t>
      </w:r>
      <w:r>
        <w:rPr>
          <w:rFonts w:cs="Tahoma" w:ascii="Calibri" w:hAnsi="Calibri"/>
          <w:color w:val="000000"/>
          <w:sz w:val="18"/>
          <w:szCs w:val="18"/>
        </w:rPr>
        <w:t>Systemu medycznego</w:t>
      </w:r>
      <w:r>
        <w:rPr>
          <w:rFonts w:ascii="Calibri" w:hAnsi="Calibri"/>
          <w:sz w:val="18"/>
          <w:szCs w:val="18"/>
        </w:rPr>
        <w:t xml:space="preserve">, zgodnie z Dokumentacją Użytkownika i Specyfikacją. </w:t>
      </w:r>
    </w:p>
    <w:p>
      <w:pPr>
        <w:pStyle w:val="Normal"/>
        <w:widowControl w:val="false"/>
        <w:numPr>
          <w:ilvl w:val="1"/>
          <w:numId w:val="37"/>
        </w:numPr>
        <w:tabs>
          <w:tab w:val="clear" w:pos="709"/>
          <w:tab w:val="left" w:pos="720" w:leader="none"/>
        </w:tabs>
        <w:spacing w:before="120" w:after="120"/>
        <w:ind w:left="720" w:hanging="360"/>
        <w:jc w:val="both"/>
        <w:rPr>
          <w:rFonts w:ascii="Calibri" w:hAnsi="Calibri"/>
          <w:sz w:val="18"/>
          <w:szCs w:val="18"/>
        </w:rPr>
      </w:pPr>
      <w:r>
        <w:rPr>
          <w:rFonts w:ascii="Calibri" w:hAnsi="Calibri"/>
          <w:b/>
          <w:sz w:val="18"/>
          <w:szCs w:val="18"/>
        </w:rPr>
        <w:t>Usługa Subskrypcji</w:t>
      </w:r>
      <w:r>
        <w:rPr>
          <w:rFonts w:ascii="Calibri" w:hAnsi="Calibri"/>
          <w:sz w:val="18"/>
          <w:szCs w:val="18"/>
        </w:rPr>
        <w:t xml:space="preserve"> – rozumie się świadczenie usług polegających po stronie Wykonawcy na udostępnianiu Zamawiającemu aktualizacji (patch, update, upgrade) Systemu medycznego, opracowanych </w:t>
      </w:r>
      <w:r>
        <w:rPr>
          <w:rFonts w:cs="Arial" w:ascii="Calibri" w:hAnsi="Calibri"/>
          <w:sz w:val="18"/>
          <w:szCs w:val="18"/>
          <w:shd w:fill="FFFFFF" w:val="clear"/>
        </w:rPr>
        <w:t xml:space="preserve">w celu utrzymania Systemu medycznego </w:t>
      </w:r>
      <w:r>
        <w:rPr>
          <w:rFonts w:ascii="Calibri" w:hAnsi="Calibri"/>
          <w:sz w:val="18"/>
          <w:szCs w:val="18"/>
        </w:rPr>
        <w:t xml:space="preserve">w zgodności z przepisami prawa, które powstaną w okresie </w:t>
      </w:r>
      <w:r>
        <w:rPr>
          <w:rFonts w:cs="Arial" w:ascii="Calibri" w:hAnsi="Calibri"/>
          <w:color w:val="000000"/>
          <w:sz w:val="18"/>
          <w:szCs w:val="18"/>
        </w:rPr>
        <w:t xml:space="preserve">obowiązywania Gwarancji </w:t>
      </w:r>
      <w:r>
        <w:rPr>
          <w:rFonts w:ascii="Calibri" w:hAnsi="Calibri"/>
          <w:sz w:val="18"/>
          <w:szCs w:val="18"/>
        </w:rPr>
        <w:t xml:space="preserve">lub wynikających z wewnętrznego procesu rozwoju Systemu medycznego. </w:t>
      </w:r>
    </w:p>
    <w:p>
      <w:pPr>
        <w:pStyle w:val="ListParagraph"/>
        <w:numPr>
          <w:ilvl w:val="1"/>
          <w:numId w:val="37"/>
        </w:numPr>
        <w:tabs>
          <w:tab w:val="left" w:pos="709" w:leader="none"/>
        </w:tabs>
        <w:spacing w:before="120" w:after="120"/>
        <w:ind w:left="709" w:hanging="425"/>
        <w:contextualSpacing/>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b/>
          <w:color w:val="000000"/>
          <w:sz w:val="18"/>
          <w:szCs w:val="18"/>
        </w:rPr>
        <w:t>Infrastruktura Sprzętowa</w:t>
      </w:r>
      <w:r>
        <w:rPr>
          <w:rFonts w:cs="Calibri" w:ascii="Calibri" w:hAnsi="Calibri" w:asciiTheme="minorHAnsi" w:cstheme="minorHAnsi" w:hAnsiTheme="minorHAnsi"/>
          <w:color w:val="000000"/>
          <w:sz w:val="18"/>
          <w:szCs w:val="18"/>
        </w:rPr>
        <w:t xml:space="preserve"> – infrastruktura techniczna zapewniana przez Zamawiającego, między innymi: serwery, macierz, stacje robocze wraz z oprogramowaniem systemowym i oprogramowaniem narzędziowym, niezbędne dla uruchomienia i eksploatacji Systemu medycznego, spełniająca wymagania zdefiniowane w Załączniku nr 6.</w:t>
      </w:r>
    </w:p>
    <w:p>
      <w:pPr>
        <w:pStyle w:val="Normal"/>
        <w:widowControl w:val="false"/>
        <w:numPr>
          <w:ilvl w:val="0"/>
          <w:numId w:val="37"/>
        </w:numPr>
        <w:spacing w:before="120" w:after="120"/>
        <w:jc w:val="both"/>
        <w:rPr>
          <w:rFonts w:ascii="Calibri" w:hAnsi="Calibri"/>
          <w:sz w:val="18"/>
          <w:szCs w:val="18"/>
        </w:rPr>
      </w:pPr>
      <w:r>
        <w:rPr>
          <w:rFonts w:ascii="Calibri" w:hAnsi="Calibri"/>
          <w:sz w:val="18"/>
          <w:szCs w:val="18"/>
        </w:rPr>
        <w:t xml:space="preserve">Wykonawca świadczy usługi w ramach Gwarancji w sposób zdalny, za pośrednictwem łącz transmisji danych, </w:t>
        <w:br/>
        <w:t xml:space="preserve">przy pomocy technologii zdalnego pulpitu. Koszty dostępu zdalnego ponosi Wykonawca, a Zamawiający zobowiązuje się umożliwić ze swojej strony realizację takiego dostępu. Niezbędną infrastrukturę po stronie Zamawiającego zapewnia Zamawiający we własnym zakresie i na własny koszt, zgodnie z odrębnymi wymogami Wykonawcy, w tym w razie potrzeby, Zamawiający zobowiązany jest nadać Wykonawcy uprawnienia administracyjne. </w:t>
      </w:r>
    </w:p>
    <w:p>
      <w:pPr>
        <w:pStyle w:val="Normal"/>
        <w:widowControl w:val="false"/>
        <w:numPr>
          <w:ilvl w:val="0"/>
          <w:numId w:val="37"/>
        </w:numPr>
        <w:spacing w:before="120" w:after="120"/>
        <w:jc w:val="both"/>
        <w:rPr>
          <w:rFonts w:ascii="Calibri" w:hAnsi="Calibri"/>
          <w:sz w:val="18"/>
          <w:szCs w:val="18"/>
        </w:rPr>
      </w:pPr>
      <w:r>
        <w:rPr>
          <w:rFonts w:ascii="Calibri" w:hAnsi="Calibri"/>
          <w:sz w:val="18"/>
          <w:szCs w:val="18"/>
        </w:rPr>
        <w:t>Dla uniknięcia wątpliwości Strony potwierdzają, że Gwarancja nie obejmują Infrastruktury Sprzętowej, niezbędnej dla prawidłowego działania Systemu medycznego.</w:t>
      </w:r>
    </w:p>
    <w:p>
      <w:pPr>
        <w:pStyle w:val="Normal"/>
        <w:widowControl w:val="false"/>
        <w:numPr>
          <w:ilvl w:val="0"/>
          <w:numId w:val="37"/>
        </w:numPr>
        <w:spacing w:before="120" w:after="120"/>
        <w:jc w:val="both"/>
        <w:rPr>
          <w:rFonts w:ascii="Calibri" w:hAnsi="Calibri" w:cs="Tahoma"/>
          <w:b/>
          <w:sz w:val="18"/>
          <w:szCs w:val="18"/>
        </w:rPr>
      </w:pPr>
      <w:r>
        <w:rPr>
          <w:rFonts w:ascii="Calibri" w:hAnsi="Calibri"/>
          <w:sz w:val="18"/>
          <w:szCs w:val="18"/>
        </w:rPr>
        <w:t xml:space="preserve">Dla uniknięcia wątpliwości Strony potwierdzają, że zaimplementowane aktualizacje </w:t>
      </w:r>
      <w:r>
        <w:rPr>
          <w:rFonts w:cs="Tahoma" w:ascii="Calibri" w:hAnsi="Calibri"/>
          <w:color w:val="000000"/>
          <w:sz w:val="18"/>
          <w:szCs w:val="18"/>
        </w:rPr>
        <w:t>Systemu medycznego</w:t>
      </w:r>
      <w:r>
        <w:rPr>
          <w:rFonts w:ascii="Calibri" w:hAnsi="Calibri"/>
          <w:sz w:val="18"/>
          <w:szCs w:val="18"/>
        </w:rPr>
        <w:t xml:space="preserve">, w tym powstałe w wyniku wykonywania Napraw lub Usługi Subskrypcji, objęte są warunkami Licencji </w:t>
      </w:r>
      <w:r>
        <w:rPr>
          <w:rFonts w:cs="Tahoma" w:ascii="Calibri" w:hAnsi="Calibri"/>
          <w:color w:val="000000"/>
          <w:sz w:val="18"/>
          <w:szCs w:val="18"/>
        </w:rPr>
        <w:t>Systemu medycznego.</w:t>
      </w:r>
    </w:p>
    <w:p>
      <w:pPr>
        <w:pStyle w:val="Normal"/>
        <w:spacing w:before="120" w:after="120"/>
        <w:jc w:val="center"/>
        <w:rPr>
          <w:rFonts w:ascii="Calibri" w:hAnsi="Calibri" w:cs="Tahoma"/>
          <w:b/>
          <w:sz w:val="18"/>
          <w:szCs w:val="18"/>
        </w:rPr>
      </w:pPr>
      <w:r>
        <w:rPr>
          <w:rFonts w:cs="Tahoma" w:ascii="Calibri" w:hAnsi="Calibri"/>
          <w:b/>
          <w:sz w:val="18"/>
          <w:szCs w:val="18"/>
        </w:rPr>
        <w:t>§ 2.</w:t>
      </w:r>
    </w:p>
    <w:p>
      <w:pPr>
        <w:pStyle w:val="Normal"/>
        <w:suppressAutoHyphens w:val="true"/>
        <w:spacing w:before="120" w:after="120"/>
        <w:jc w:val="both"/>
        <w:rPr>
          <w:rFonts w:ascii="Calibri" w:hAnsi="Calibri" w:cs="Arial"/>
          <w:color w:val="000000"/>
          <w:sz w:val="18"/>
          <w:szCs w:val="18"/>
        </w:rPr>
      </w:pPr>
      <w:r>
        <w:rPr>
          <w:rFonts w:cs="Arial" w:ascii="Calibri" w:hAnsi="Calibri"/>
          <w:color w:val="000000"/>
          <w:sz w:val="18"/>
          <w:szCs w:val="18"/>
        </w:rPr>
        <w:t xml:space="preserve">W zakresie przetwarzania danych osobowych w związku z świadczeniem usług Gwarancji stosuje się postanowienia § 12 Umowy. </w:t>
      </w:r>
    </w:p>
    <w:p>
      <w:pPr>
        <w:pStyle w:val="Normal"/>
        <w:spacing w:before="120" w:after="120"/>
        <w:jc w:val="center"/>
        <w:rPr>
          <w:rFonts w:ascii="Calibri" w:hAnsi="Calibri" w:cs="Tahoma"/>
          <w:b/>
          <w:sz w:val="18"/>
          <w:szCs w:val="18"/>
        </w:rPr>
      </w:pPr>
      <w:r>
        <w:rPr>
          <w:rFonts w:cs="Tahoma" w:ascii="Calibri" w:hAnsi="Calibri"/>
          <w:b/>
          <w:sz w:val="18"/>
          <w:szCs w:val="18"/>
        </w:rPr>
        <w:t>§ 3.</w:t>
      </w:r>
    </w:p>
    <w:p>
      <w:pPr>
        <w:pStyle w:val="Normal"/>
        <w:numPr>
          <w:ilvl w:val="0"/>
          <w:numId w:val="30"/>
        </w:numPr>
        <w:spacing w:before="120" w:after="120"/>
        <w:jc w:val="both"/>
        <w:rPr>
          <w:rFonts w:ascii="Calibri" w:hAnsi="Calibri" w:cs="Tahoma"/>
          <w:sz w:val="18"/>
          <w:szCs w:val="18"/>
        </w:rPr>
      </w:pPr>
      <w:r>
        <w:rPr>
          <w:rFonts w:cs="Tahoma" w:ascii="Calibri" w:hAnsi="Calibri"/>
          <w:sz w:val="18"/>
          <w:szCs w:val="18"/>
        </w:rPr>
        <w:t>Zgłoszenia dotyczące Napraw będą przyjmowane przez Wykonawcy w następujący sposób:</w:t>
      </w:r>
    </w:p>
    <w:p>
      <w:pPr>
        <w:pStyle w:val="Normal"/>
        <w:numPr>
          <w:ilvl w:val="1"/>
          <w:numId w:val="30"/>
        </w:numPr>
        <w:tabs>
          <w:tab w:val="left" w:pos="709" w:leader="none"/>
          <w:tab w:val="left" w:pos="851" w:leader="none"/>
        </w:tabs>
        <w:suppressAutoHyphens w:val="true"/>
        <w:spacing w:before="60" w:after="60"/>
        <w:ind w:left="851" w:hanging="360"/>
        <w:jc w:val="both"/>
        <w:rPr/>
      </w:pPr>
      <w:bookmarkStart w:id="1" w:name="_Hlk22643873"/>
      <w:r>
        <w:rPr>
          <w:rFonts w:cs="Tahoma" w:ascii="Calibri" w:hAnsi="Calibri"/>
          <w:sz w:val="18"/>
          <w:szCs w:val="18"/>
        </w:rPr>
        <w:t>telefonicznie na numer telefonu Wykonawcy:</w:t>
      </w:r>
    </w:p>
    <w:p>
      <w:pPr>
        <w:pStyle w:val="Normal"/>
        <w:spacing w:before="60" w:after="60"/>
        <w:ind w:left="1020" w:hanging="0"/>
        <w:jc w:val="both"/>
        <w:rPr/>
      </w:pPr>
      <w:r>
        <w:rPr>
          <w:rFonts w:cs="Tahoma" w:ascii="Calibri" w:hAnsi="Calibri"/>
          <w:sz w:val="18"/>
          <w:szCs w:val="18"/>
        </w:rPr>
        <w:t>•</w:t>
      </w:r>
      <w:r>
        <w:rPr>
          <w:rFonts w:cs="Tahoma" w:ascii="Calibri" w:hAnsi="Calibri"/>
          <w:sz w:val="18"/>
          <w:szCs w:val="18"/>
        </w:rPr>
        <w:tab/>
      </w:r>
      <w:r>
        <w:rPr>
          <w:rFonts w:cs="Arial" w:ascii="Calibri" w:hAnsi="Calibri"/>
          <w:b/>
          <w:color w:val="000000"/>
          <w:sz w:val="18"/>
          <w:szCs w:val="18"/>
          <w:highlight w:val="yellow"/>
        </w:rPr>
        <w:t>____________________</w:t>
      </w:r>
    </w:p>
    <w:p>
      <w:pPr>
        <w:pStyle w:val="Normal"/>
        <w:numPr>
          <w:ilvl w:val="1"/>
          <w:numId w:val="30"/>
        </w:numPr>
        <w:tabs>
          <w:tab w:val="clear" w:pos="709"/>
        </w:tabs>
        <w:suppressAutoHyphens w:val="true"/>
        <w:spacing w:before="120" w:after="120"/>
        <w:ind w:left="709" w:hanging="283"/>
        <w:jc w:val="both"/>
        <w:rPr>
          <w:rFonts w:ascii="Calibri" w:hAnsi="Calibri" w:cs="Calibri" w:asciiTheme="minorHAnsi" w:cstheme="minorHAnsi" w:hAnsiTheme="minorHAnsi"/>
          <w:b/>
          <w:sz w:val="18"/>
          <w:szCs w:val="18"/>
        </w:rPr>
      </w:pPr>
      <w:r>
        <w:rPr>
          <w:rFonts w:cs="Calibri" w:ascii="Calibri" w:hAnsi="Calibri"/>
          <w:bCs/>
          <w:sz w:val="18"/>
          <w:szCs w:val="18"/>
        </w:rPr>
        <w:t>poprzez dedykowany serwis www</w:t>
      </w:r>
      <w:r>
        <w:rPr>
          <w:rFonts w:cs="Calibri" w:ascii="Calibri" w:hAnsi="Calibri"/>
          <w:b/>
          <w:bCs/>
          <w:sz w:val="18"/>
          <w:szCs w:val="18"/>
        </w:rPr>
        <w:t xml:space="preserve"> </w:t>
      </w:r>
      <w:r>
        <w:rPr>
          <w:rFonts w:cs="Arial" w:ascii="Calibri" w:hAnsi="Calibri"/>
          <w:b/>
          <w:color w:val="000000"/>
          <w:sz w:val="18"/>
          <w:szCs w:val="18"/>
          <w:highlight w:val="yellow"/>
        </w:rPr>
        <w:t>____________________</w:t>
      </w:r>
      <w:bookmarkEnd w:id="1"/>
    </w:p>
    <w:p>
      <w:pPr>
        <w:pStyle w:val="Normal"/>
        <w:numPr>
          <w:ilvl w:val="0"/>
          <w:numId w:val="30"/>
        </w:numPr>
        <w:spacing w:before="120" w:after="120"/>
        <w:jc w:val="both"/>
        <w:rPr>
          <w:rFonts w:ascii="Calibri" w:hAnsi="Calibri" w:cs="Tahoma"/>
          <w:sz w:val="18"/>
          <w:szCs w:val="18"/>
          <w:u w:val="single"/>
        </w:rPr>
      </w:pPr>
      <w:r>
        <w:rPr>
          <w:rFonts w:cs="Tahoma" w:ascii="Calibri" w:hAnsi="Calibri"/>
          <w:sz w:val="18"/>
          <w:szCs w:val="18"/>
        </w:rPr>
        <w:t xml:space="preserve">Wykonawca zobowiązuje się do zrealizowania Napraw w terminie do </w:t>
      </w:r>
      <w:r>
        <w:rPr>
          <w:rFonts w:cs="Tahoma" w:ascii="Calibri" w:hAnsi="Calibri"/>
          <w:b/>
          <w:sz w:val="18"/>
          <w:szCs w:val="18"/>
        </w:rPr>
        <w:t>10 (dziesięciu)</w:t>
      </w:r>
      <w:r>
        <w:rPr>
          <w:rFonts w:cs="Tahoma" w:ascii="Calibri" w:hAnsi="Calibri"/>
          <w:sz w:val="18"/>
          <w:szCs w:val="18"/>
        </w:rPr>
        <w:t xml:space="preserve"> </w:t>
      </w:r>
      <w:r>
        <w:rPr>
          <w:rFonts w:cs="Tahoma" w:ascii="Calibri" w:hAnsi="Calibri"/>
          <w:b/>
          <w:sz w:val="18"/>
          <w:szCs w:val="18"/>
        </w:rPr>
        <w:t>dni roboczych</w:t>
      </w:r>
      <w:r>
        <w:rPr>
          <w:rFonts w:cs="Tahoma" w:ascii="Calibri" w:hAnsi="Calibri"/>
          <w:sz w:val="18"/>
          <w:szCs w:val="18"/>
        </w:rPr>
        <w:t xml:space="preserve"> (termin Naprawy). </w:t>
      </w:r>
    </w:p>
    <w:p>
      <w:pPr>
        <w:pStyle w:val="Normal"/>
        <w:numPr>
          <w:ilvl w:val="0"/>
          <w:numId w:val="30"/>
        </w:numPr>
        <w:spacing w:before="120" w:after="120"/>
        <w:jc w:val="both"/>
        <w:rPr>
          <w:rFonts w:ascii="Calibri" w:hAnsi="Calibri" w:cs="Tahoma"/>
          <w:sz w:val="18"/>
          <w:szCs w:val="18"/>
        </w:rPr>
      </w:pPr>
      <w:r>
        <w:rPr>
          <w:rFonts w:cs="Tahoma" w:ascii="Calibri" w:hAnsi="Calibri"/>
          <w:sz w:val="18"/>
          <w:szCs w:val="18"/>
        </w:rPr>
        <w:t xml:space="preserve">W przypadku, gdy Naprawa Systemu medycznego nie jest możliwa w terminie Naprawy wskazanym w ust. 2, Wykonawca zobowiązany jest w tym terminie do zapewnienia tymczasowego rozwiązania (obejścia). Obejście zostanie zastąpione przez rozwiązanie docelowe w terminie nieprzekraczającym </w:t>
      </w:r>
      <w:r>
        <w:rPr>
          <w:rFonts w:cs="Tahoma" w:ascii="Calibri" w:hAnsi="Calibri"/>
          <w:b/>
          <w:sz w:val="18"/>
          <w:szCs w:val="18"/>
        </w:rPr>
        <w:t>30 (trzydziestu)</w:t>
      </w:r>
      <w:r>
        <w:rPr>
          <w:rFonts w:cs="Tahoma" w:ascii="Calibri" w:hAnsi="Calibri"/>
          <w:sz w:val="18"/>
          <w:szCs w:val="18"/>
        </w:rPr>
        <w:t xml:space="preserve"> </w:t>
      </w:r>
      <w:r>
        <w:rPr>
          <w:rFonts w:cs="Tahoma" w:ascii="Calibri" w:hAnsi="Calibri"/>
          <w:b/>
          <w:sz w:val="18"/>
          <w:szCs w:val="18"/>
        </w:rPr>
        <w:t>dni roboczych</w:t>
      </w:r>
      <w:r>
        <w:rPr>
          <w:rFonts w:cs="Tahoma" w:ascii="Calibri" w:hAnsi="Calibri"/>
          <w:sz w:val="18"/>
          <w:szCs w:val="18"/>
        </w:rPr>
        <w:t xml:space="preserve"> od zapewnienia obejścia. Usunięcie wady Systemu medycznego w ramach obejścia traktowane jest jako wykonanie Naprawy w terminie Naprawy wskazanym w ust. 2 powyżej.</w:t>
      </w:r>
    </w:p>
    <w:p>
      <w:pPr>
        <w:pStyle w:val="Normal"/>
        <w:numPr>
          <w:ilvl w:val="0"/>
          <w:numId w:val="30"/>
        </w:numPr>
        <w:spacing w:before="120" w:after="120"/>
        <w:jc w:val="both"/>
        <w:rPr>
          <w:rFonts w:ascii="Calibri" w:hAnsi="Calibri" w:cs="Tahoma"/>
          <w:sz w:val="18"/>
          <w:szCs w:val="18"/>
        </w:rPr>
      </w:pPr>
      <w:r>
        <w:rPr>
          <w:rFonts w:cs="Tahoma" w:ascii="Calibri" w:hAnsi="Calibri"/>
          <w:sz w:val="18"/>
          <w:szCs w:val="18"/>
        </w:rPr>
        <w:t xml:space="preserve">Termin Naprawy to maksymalny czas, w którym Wykonawca zobowiązuje się usunąć wadę Systemu medycznego albo zapewnić czasowe obejście ujawnionej wady Systemu medycznego. </w:t>
      </w:r>
    </w:p>
    <w:p>
      <w:pPr>
        <w:pStyle w:val="Normal"/>
        <w:numPr>
          <w:ilvl w:val="0"/>
          <w:numId w:val="30"/>
        </w:numPr>
        <w:spacing w:before="120" w:after="120"/>
        <w:jc w:val="both"/>
        <w:rPr>
          <w:rFonts w:ascii="Calibri" w:hAnsi="Calibri" w:cs="Tahoma"/>
          <w:sz w:val="18"/>
          <w:szCs w:val="18"/>
        </w:rPr>
      </w:pPr>
      <w:r>
        <w:rPr>
          <w:rFonts w:cs="Tahoma" w:ascii="Calibri" w:hAnsi="Calibri"/>
          <w:sz w:val="18"/>
          <w:szCs w:val="18"/>
        </w:rPr>
        <w:t>Termin Naprawy liczony jest od chwili przyjęcia zgłoszenia Zamawiającego dotyczącego wady Systemu medycznego w ramach Gwarancji, w którym Wykonawca jest zobowiązany potwierdzić zgłoszenie, do chwili usunięcia wady Systemu medycznego lub zapewnienia czasowego jej obejścia.</w:t>
      </w:r>
    </w:p>
    <w:p>
      <w:pPr>
        <w:pStyle w:val="Normal"/>
        <w:numPr>
          <w:ilvl w:val="0"/>
          <w:numId w:val="30"/>
        </w:numPr>
        <w:spacing w:before="120" w:after="120"/>
        <w:jc w:val="both"/>
        <w:rPr>
          <w:rFonts w:ascii="Calibri" w:hAnsi="Calibri"/>
          <w:sz w:val="18"/>
          <w:szCs w:val="18"/>
        </w:rPr>
      </w:pPr>
      <w:r>
        <w:rPr>
          <w:rFonts w:cs="Tahoma" w:ascii="Calibri" w:hAnsi="Calibri"/>
          <w:sz w:val="18"/>
          <w:szCs w:val="18"/>
        </w:rPr>
        <w:t xml:space="preserve">W ramach Usługi </w:t>
      </w:r>
      <w:r>
        <w:rPr>
          <w:rFonts w:ascii="Calibri" w:hAnsi="Calibri"/>
          <w:sz w:val="18"/>
          <w:szCs w:val="18"/>
        </w:rPr>
        <w:t>Subskrypcji</w:t>
      </w:r>
      <w:r>
        <w:rPr>
          <w:rFonts w:cs="Tahoma" w:ascii="Calibri" w:hAnsi="Calibri"/>
          <w:sz w:val="18"/>
          <w:szCs w:val="18"/>
        </w:rPr>
        <w:t xml:space="preserve">, Wykonawca zobowiązuje się do udostępnienia aktualizacji Systemu medycznego wraz z dokumentem opisującym zmiany dla udostępnianej wersji Systemu medycznego. Informacja o nowej wersji Systemu medycznego udostępniana będzie w profilu administracyjnym aktualnie eksploatowanej wersji Systemu medycznego. Aktualizacja musi zostać wykonana niezwłocznie przez Zamawiającego zgodnie z procedurą aktualizacji wersji z tym zastrzeżeniem, że aktualizacje zapewniające utrzymanie Systemu medycznego w zgodności z przepisami prawa zostaną udostępnione Zamawiającemu nie później niż w </w:t>
      </w:r>
      <w:r>
        <w:rPr>
          <w:rFonts w:cs="Tahoma" w:ascii="Calibri" w:hAnsi="Calibri"/>
          <w:b/>
          <w:sz w:val="18"/>
          <w:szCs w:val="18"/>
        </w:rPr>
        <w:t xml:space="preserve">terminie 30 (trzydziestu) dni roboczych </w:t>
      </w:r>
      <w:r>
        <w:rPr>
          <w:rFonts w:cs="Tahoma" w:ascii="Calibri" w:hAnsi="Calibri"/>
          <w:sz w:val="18"/>
          <w:szCs w:val="18"/>
        </w:rPr>
        <w:t>od dnia wejścia w życie przepisów prawa lub ich zmian. Zamawiający zobowiązany jest do zapewnienia minimalnych warunków sprzętowych wymaganych przez aktualizację Systemu medycznego.</w:t>
      </w:r>
      <w:r>
        <w:rPr>
          <w:rFonts w:ascii="Calibri" w:hAnsi="Calibri"/>
          <w:sz w:val="18"/>
          <w:szCs w:val="18"/>
        </w:rPr>
        <w:t xml:space="preserve"> Dla uniknięcia wątpliwości Strony potwierdzają, że aktualizacje Systemu medycznego w ramach Usługi Subskrypcji, objęte są warunkami Licencji Systemu medycznego, a zobowiązanym do instalacji aktualizacji Systemu medycznego jest Zamawiający.</w:t>
      </w:r>
    </w:p>
    <w:p>
      <w:pPr>
        <w:pStyle w:val="Normal"/>
        <w:numPr>
          <w:ilvl w:val="0"/>
          <w:numId w:val="30"/>
        </w:numPr>
        <w:spacing w:before="120" w:after="120"/>
        <w:jc w:val="both"/>
        <w:rPr>
          <w:rFonts w:ascii="Calibri" w:hAnsi="Calibri" w:cs="Tahoma"/>
          <w:b/>
          <w:sz w:val="18"/>
          <w:szCs w:val="18"/>
        </w:rPr>
      </w:pPr>
      <w:r>
        <w:rPr>
          <w:rFonts w:cs="Tahoma" w:ascii="Calibri" w:hAnsi="Calibri"/>
          <w:sz w:val="18"/>
          <w:szCs w:val="18"/>
        </w:rPr>
        <w:t xml:space="preserve">Usługi Gwarancji świadczone będą w dni robocze od godziny 09.00 do godziny 16.00. </w:t>
      </w:r>
      <w:r>
        <w:rPr>
          <w:rFonts w:ascii="Calibri" w:hAnsi="Calibri"/>
          <w:sz w:val="18"/>
          <w:szCs w:val="18"/>
        </w:rPr>
        <w:t>Zgłoszenia przysłane po godzinie 15.00 oraz w dni wolne od pracy (sobota, niedziela i święta) będą traktowane jak zgłoszenia przyjęte o godz.09.00 w następnym dniu roboczym.</w:t>
      </w:r>
    </w:p>
    <w:p>
      <w:pPr>
        <w:pStyle w:val="Normal"/>
        <w:numPr>
          <w:ilvl w:val="0"/>
          <w:numId w:val="30"/>
        </w:numPr>
        <w:spacing w:before="120" w:after="120"/>
        <w:jc w:val="both"/>
        <w:rPr>
          <w:rFonts w:ascii="Calibri" w:hAnsi="Calibri" w:cs="Tahoma"/>
          <w:b/>
          <w:sz w:val="18"/>
          <w:szCs w:val="18"/>
        </w:rPr>
      </w:pPr>
      <w:r>
        <w:rPr>
          <w:rFonts w:ascii="Calibri" w:hAnsi="Calibri"/>
          <w:sz w:val="18"/>
          <w:szCs w:val="18"/>
        </w:rPr>
        <w:t>Przez dni robocze należy rozumieć dni od poniedziałku do piątku, z wyłączeniem dni ustawowo wolnych od pracy.</w:t>
      </w:r>
    </w:p>
    <w:p>
      <w:pPr>
        <w:pStyle w:val="Normal"/>
        <w:numPr>
          <w:ilvl w:val="0"/>
          <w:numId w:val="30"/>
        </w:numPr>
        <w:spacing w:before="120" w:after="120"/>
        <w:jc w:val="both"/>
        <w:rPr>
          <w:rFonts w:ascii="Calibri" w:hAnsi="Calibri" w:cs="Tahoma"/>
          <w:sz w:val="18"/>
          <w:szCs w:val="18"/>
        </w:rPr>
      </w:pPr>
      <w:r>
        <w:rPr>
          <w:rFonts w:cs="Tahoma" w:ascii="Calibri" w:hAnsi="Calibri"/>
          <w:sz w:val="18"/>
          <w:szCs w:val="18"/>
        </w:rPr>
        <w:t>Osobami uprawnionymi do zgłaszania wad Systemu medycznego, po stronie Zamawiającego są:</w:t>
      </w:r>
    </w:p>
    <w:p>
      <w:pPr>
        <w:pStyle w:val="Normal"/>
        <w:numPr>
          <w:ilvl w:val="0"/>
          <w:numId w:val="39"/>
        </w:numPr>
        <w:tabs>
          <w:tab w:val="clear" w:pos="709"/>
          <w:tab w:val="left" w:pos="720" w:leader="none"/>
        </w:tabs>
        <w:spacing w:before="120" w:after="120"/>
        <w:jc w:val="both"/>
        <w:rPr>
          <w:rFonts w:ascii="Calibri" w:hAnsi="Calibri" w:cs="Tahoma"/>
          <w:sz w:val="18"/>
          <w:szCs w:val="18"/>
        </w:rPr>
      </w:pPr>
      <w:r>
        <w:rPr>
          <w:rFonts w:ascii="Calibri" w:hAnsi="Calibri"/>
          <w:sz w:val="18"/>
          <w:szCs w:val="18"/>
          <w:highlight w:val="yellow"/>
        </w:rPr>
        <w:t>______________</w:t>
      </w:r>
    </w:p>
    <w:p>
      <w:pPr>
        <w:pStyle w:val="Normal"/>
        <w:numPr>
          <w:ilvl w:val="0"/>
          <w:numId w:val="39"/>
        </w:numPr>
        <w:tabs>
          <w:tab w:val="clear" w:pos="709"/>
          <w:tab w:val="left" w:pos="720" w:leader="none"/>
        </w:tabs>
        <w:spacing w:before="120" w:after="120"/>
        <w:jc w:val="both"/>
        <w:rPr>
          <w:rFonts w:ascii="Calibri" w:hAnsi="Calibri" w:cs="Tahoma"/>
          <w:sz w:val="18"/>
          <w:szCs w:val="18"/>
        </w:rPr>
      </w:pPr>
      <w:r>
        <w:rPr>
          <w:rFonts w:ascii="Calibri" w:hAnsi="Calibri"/>
          <w:sz w:val="18"/>
          <w:szCs w:val="18"/>
          <w:highlight w:val="yellow"/>
        </w:rPr>
        <w:t>______________</w:t>
      </w:r>
    </w:p>
    <w:p>
      <w:pPr>
        <w:pStyle w:val="Normal"/>
        <w:numPr>
          <w:ilvl w:val="0"/>
          <w:numId w:val="39"/>
        </w:numPr>
        <w:tabs>
          <w:tab w:val="clear" w:pos="709"/>
          <w:tab w:val="left" w:pos="720" w:leader="none"/>
        </w:tabs>
        <w:spacing w:before="120" w:after="120"/>
        <w:jc w:val="both"/>
        <w:rPr>
          <w:rFonts w:ascii="Calibri" w:hAnsi="Calibri" w:cs="Tahoma"/>
          <w:sz w:val="18"/>
          <w:szCs w:val="18"/>
        </w:rPr>
      </w:pPr>
      <w:r>
        <w:rPr>
          <w:rFonts w:ascii="Calibri" w:hAnsi="Calibri"/>
          <w:sz w:val="18"/>
          <w:szCs w:val="18"/>
          <w:highlight w:val="yellow"/>
        </w:rPr>
        <w:t>______________</w:t>
      </w:r>
    </w:p>
    <w:p>
      <w:pPr>
        <w:pStyle w:val="Normal"/>
        <w:numPr>
          <w:ilvl w:val="0"/>
          <w:numId w:val="30"/>
        </w:numPr>
        <w:spacing w:before="120" w:after="120"/>
        <w:jc w:val="both"/>
        <w:rPr>
          <w:rFonts w:ascii="Calibri" w:hAnsi="Calibri" w:cs="Tahoma"/>
          <w:sz w:val="18"/>
          <w:szCs w:val="18"/>
        </w:rPr>
      </w:pPr>
      <w:r>
        <w:rPr>
          <w:rFonts w:cs="Tahoma" w:ascii="Calibri" w:hAnsi="Calibri"/>
          <w:sz w:val="18"/>
          <w:szCs w:val="18"/>
        </w:rPr>
        <w:t>Zmiana lub wyznaczenie przez Zamawiającego dodatkowych osób upoważnionych do dokonywania zgłoszeń wad Systemu medycznego na podstawie Gwarancji wymaga poinformowana Wykonawcy o zmianie lub wyznaczeniu dodatkowych osób, w formie elektronicznej lub pisemnej, z odpowiednim wyprzedzeniem, a taką zmiana lub uzupełnienie nie stanowi zmiany Umowy.</w:t>
      </w:r>
    </w:p>
    <w:p>
      <w:pPr>
        <w:pStyle w:val="Normal"/>
        <w:spacing w:before="120" w:after="120"/>
        <w:jc w:val="center"/>
        <w:rPr>
          <w:rFonts w:ascii="Calibri" w:hAnsi="Calibri"/>
          <w:b/>
          <w:sz w:val="18"/>
          <w:szCs w:val="18"/>
        </w:rPr>
      </w:pPr>
      <w:r>
        <w:rPr>
          <w:rFonts w:ascii="Calibri" w:hAnsi="Calibri"/>
          <w:b/>
          <w:sz w:val="18"/>
          <w:szCs w:val="18"/>
        </w:rPr>
        <w:t>§ 4.</w:t>
      </w:r>
    </w:p>
    <w:p>
      <w:pPr>
        <w:pStyle w:val="Standard"/>
        <w:numPr>
          <w:ilvl w:val="0"/>
          <w:numId w:val="38"/>
        </w:numPr>
        <w:tabs>
          <w:tab w:val="clear" w:pos="709"/>
          <w:tab w:val="left" w:pos="360" w:leader="none"/>
        </w:tabs>
        <w:spacing w:before="120" w:after="120"/>
        <w:ind w:left="360" w:hanging="357"/>
        <w:jc w:val="both"/>
        <w:rPr>
          <w:rFonts w:ascii="Calibri" w:hAnsi="Calibri" w:cs="Tahoma"/>
          <w:color w:val="000000"/>
          <w:sz w:val="18"/>
          <w:szCs w:val="18"/>
          <w:lang w:val="pl-PL"/>
        </w:rPr>
      </w:pPr>
      <w:r>
        <w:rPr>
          <w:rFonts w:cs="Tahoma" w:ascii="Calibri" w:hAnsi="Calibri"/>
          <w:color w:val="000000"/>
          <w:sz w:val="18"/>
          <w:szCs w:val="18"/>
          <w:lang w:val="pl-PL"/>
        </w:rPr>
        <w:t>Gwarancja nie obejmuje w szczególności:</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uszkodzeń spowodowanych nieprawidłowym używaniem lub naprawami Systemu medycznego dokonanymi przez Zamawiającego lub osobę trzecią nieuprawnioną przez Wykonawcę,</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braku funkcjonalności Systemu medycznego nie zapisanych w Specyfikacji lub Dokumentacji Użytkownika,</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błędów wynikających z niewłaściwego używania przez Zamawiającego oprogramowania osób trzecich lub Infrastruktury Sprzętowej, niezbędnego do prawidłowego korzystania z Systemu medycznego,</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nieprawidłowości w działaniu Systemu medycznego wynikających z nieuprawnionej ingerencji w kod źródłowych lub wynikowy Systemu medycznego,</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 xml:space="preserve">nieprawidłowości w działaniu Systemu medycznego wynikających z błędów stwierdzonych w oprogramowaniu osób trzecich lub Infrastrukturze Sprzętowej, niezbędnym dla prawidłowego działania Systemu medycznego, </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problemów wynikających ze zmian w konfiguracji sprzętowej lub systemowej Systemu medycznego, dokonanych bez autoryzacji Wykonawcy,</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problemów wynikających z nieprawidłowego użytkowania Systemu medycznego, w szczególności niezgodnie z przeznaczeniem Systemu medycznego lub Dokumentacją Systemu medycznego,</w:t>
      </w:r>
    </w:p>
    <w:p>
      <w:pPr>
        <w:pStyle w:val="Standard"/>
        <w:numPr>
          <w:ilvl w:val="1"/>
          <w:numId w:val="11"/>
        </w:numPr>
        <w:tabs>
          <w:tab w:val="clear" w:pos="709"/>
          <w:tab w:val="left" w:pos="720" w:leader="none"/>
        </w:tabs>
        <w:spacing w:before="120" w:after="120"/>
        <w:ind w:left="720" w:hanging="360"/>
        <w:jc w:val="both"/>
        <w:rPr>
          <w:rFonts w:ascii="Calibri" w:hAnsi="Calibri" w:cs="Tahoma"/>
          <w:sz w:val="18"/>
          <w:szCs w:val="18"/>
          <w:lang w:val="pl-PL"/>
        </w:rPr>
      </w:pPr>
      <w:r>
        <w:rPr>
          <w:rFonts w:cs="Tahoma" w:ascii="Calibri" w:hAnsi="Calibri"/>
          <w:color w:val="000000"/>
          <w:sz w:val="18"/>
          <w:szCs w:val="18"/>
          <w:lang w:val="pl-PL"/>
        </w:rPr>
        <w:t xml:space="preserve">braku dostępu do danych źródłowych Zamawiającego, z których korzysta System medyczny, jeżeli brak dostępu </w:t>
        <w:br/>
        <w:t>nie nastąpił z przyczyn dotyczących Systemu medycznego,</w:t>
      </w:r>
    </w:p>
    <w:p>
      <w:pPr>
        <w:pStyle w:val="Standard"/>
        <w:numPr>
          <w:ilvl w:val="1"/>
          <w:numId w:val="11"/>
        </w:numPr>
        <w:tabs>
          <w:tab w:val="clear" w:pos="709"/>
          <w:tab w:val="left" w:pos="720" w:leader="none"/>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nieprawidłowości w działaniu Systemu medycznego wynikających z braku aktualnej wersji oprogramowania Systemu medycznego udostępnianej przez Wykonawcę w ramach Usługi Subskrypcji;</w:t>
      </w:r>
    </w:p>
    <w:p>
      <w:pPr>
        <w:pStyle w:val="Normal"/>
        <w:numPr>
          <w:ilvl w:val="0"/>
          <w:numId w:val="38"/>
        </w:numPr>
        <w:tabs>
          <w:tab w:val="clear" w:pos="709"/>
          <w:tab w:val="left" w:pos="360" w:leader="none"/>
        </w:tabs>
        <w:spacing w:before="120" w:after="120"/>
        <w:ind w:left="360" w:hanging="360"/>
        <w:jc w:val="both"/>
        <w:rPr>
          <w:rFonts w:ascii="Calibri" w:hAnsi="Calibri" w:cs="Tahoma"/>
          <w:sz w:val="18"/>
          <w:szCs w:val="18"/>
        </w:rPr>
      </w:pPr>
      <w:r>
        <w:rPr>
          <w:rFonts w:cs="Tahoma" w:ascii="Calibri" w:hAnsi="Calibri"/>
          <w:sz w:val="18"/>
          <w:szCs w:val="18"/>
        </w:rPr>
        <w:t xml:space="preserve">Wykonawca w szczególności nie ponosi odpowiedzialności za niewykonanie lub nienależyte wykonanie zobowiązań wynikających z Gwarancji, które spowodowane było okolicznościami, za które odpowiada Zamawiający lub działaniem siły wyższej. </w:t>
      </w:r>
    </w:p>
    <w:p>
      <w:pPr>
        <w:pStyle w:val="Normal"/>
        <w:numPr>
          <w:ilvl w:val="0"/>
          <w:numId w:val="38"/>
        </w:numPr>
        <w:tabs>
          <w:tab w:val="clear" w:pos="709"/>
          <w:tab w:val="left" w:pos="360" w:leader="none"/>
        </w:tabs>
        <w:spacing w:before="120" w:after="120"/>
        <w:ind w:left="360" w:hanging="360"/>
        <w:jc w:val="both"/>
        <w:rPr>
          <w:rFonts w:ascii="Calibri" w:hAnsi="Calibri" w:cs="Tahoma"/>
          <w:sz w:val="18"/>
          <w:szCs w:val="18"/>
        </w:rPr>
      </w:pPr>
      <w:r>
        <w:rPr>
          <w:rFonts w:ascii="Calibri" w:hAnsi="Calibri"/>
          <w:sz w:val="18"/>
          <w:szCs w:val="18"/>
        </w:rPr>
        <w:t>Wykonawca nie ponosi odpowiedzialności za gromadzone przez Zamawiającego treści oraz dane i nie wykonuje jakiejkolwiek kontroli działań Zamawiającego w tym zakresie. Wykonawca nie ponosi odpowiedzialności za szkody polegające na utracie danych, kosztach związanych z ich odtworzeniem oraz niemożnością korzystania z danych utraconych przez Zamawiającego w trakcie wykonywania usług Gwarancji. Obowiązek sporządzenia kopii zapasowych danych aktualnych i archiwalnych oraz odtwarzania utraconych lub zmienionych danych obciąża wyłącznie Zamawiającego.</w:t>
      </w:r>
    </w:p>
    <w:p>
      <w:pPr>
        <w:pStyle w:val="Normal"/>
        <w:numPr>
          <w:ilvl w:val="0"/>
          <w:numId w:val="38"/>
        </w:numPr>
        <w:tabs>
          <w:tab w:val="clear" w:pos="709"/>
          <w:tab w:val="left" w:pos="360" w:leader="none"/>
        </w:tabs>
        <w:spacing w:before="120" w:after="120"/>
        <w:ind w:left="360" w:hanging="360"/>
        <w:jc w:val="both"/>
        <w:rPr>
          <w:rFonts w:ascii="Calibri" w:hAnsi="Calibri" w:cs="Tahoma"/>
          <w:sz w:val="18"/>
          <w:szCs w:val="18"/>
        </w:rPr>
      </w:pPr>
      <w:r>
        <w:rPr>
          <w:rFonts w:cs="Tahoma" w:ascii="Calibri" w:hAnsi="Calibri"/>
          <w:color w:val="000000"/>
          <w:sz w:val="18"/>
          <w:szCs w:val="18"/>
        </w:rPr>
        <w:t>Wykonawca nie odpowiada za straty Zamawiającego wynikające w szczególności z:</w:t>
      </w:r>
    </w:p>
    <w:p>
      <w:pPr>
        <w:pStyle w:val="Standard"/>
        <w:numPr>
          <w:ilvl w:val="1"/>
          <w:numId w:val="12"/>
        </w:numPr>
        <w:tabs>
          <w:tab w:val="clear" w:pos="709"/>
        </w:tabs>
        <w:spacing w:before="120" w:after="120"/>
        <w:ind w:left="720" w:hanging="360"/>
        <w:jc w:val="both"/>
        <w:rPr>
          <w:rFonts w:ascii="Calibri" w:hAnsi="Calibri" w:cs="Tahoma"/>
          <w:color w:val="000000"/>
          <w:sz w:val="18"/>
          <w:szCs w:val="18"/>
          <w:lang w:val="pl-PL"/>
        </w:rPr>
      </w:pPr>
      <w:r>
        <w:rPr>
          <w:rFonts w:cs="Tahoma" w:ascii="Calibri" w:hAnsi="Calibri"/>
          <w:color w:val="000000"/>
          <w:sz w:val="18"/>
          <w:szCs w:val="18"/>
          <w:lang w:val="pl-PL"/>
        </w:rPr>
        <w:t>utraty danych w wyniku niewłaściwego użytkowania Systemu medycznego,</w:t>
      </w:r>
    </w:p>
    <w:p>
      <w:pPr>
        <w:pStyle w:val="Standard"/>
        <w:numPr>
          <w:ilvl w:val="1"/>
          <w:numId w:val="12"/>
        </w:numPr>
        <w:tabs>
          <w:tab w:val="clear" w:pos="709"/>
        </w:tabs>
        <w:spacing w:before="120" w:after="120"/>
        <w:ind w:left="720" w:hanging="360"/>
        <w:jc w:val="both"/>
        <w:rPr>
          <w:rFonts w:ascii="Calibri" w:hAnsi="Calibri" w:cs="Calibri" w:asciiTheme="minorHAnsi" w:cstheme="minorHAnsi" w:hAnsiTheme="minorHAnsi"/>
          <w:b/>
          <w:sz w:val="18"/>
          <w:szCs w:val="18"/>
          <w:lang w:val="pl-PL"/>
        </w:rPr>
      </w:pPr>
      <w:r>
        <w:rPr>
          <w:rFonts w:ascii="Calibri" w:hAnsi="Calibri"/>
          <w:sz w:val="18"/>
          <w:szCs w:val="18"/>
          <w:lang w:val="pl-PL"/>
        </w:rPr>
        <w:t xml:space="preserve">użytkowania Systemu medycznego niezgodnie z Dokumentacją Użytkownika lub przeznaczeniem </w:t>
      </w:r>
      <w:r>
        <w:rPr>
          <w:rFonts w:cs="Tahoma" w:ascii="Calibri" w:hAnsi="Calibri"/>
          <w:color w:val="000000"/>
          <w:sz w:val="18"/>
          <w:szCs w:val="18"/>
          <w:lang w:val="pl-PL"/>
        </w:rPr>
        <w:t>Systemu medycznego</w:t>
      </w:r>
      <w:r>
        <w:rPr>
          <w:rFonts w:ascii="Calibri" w:hAnsi="Calibri"/>
          <w:sz w:val="18"/>
          <w:szCs w:val="18"/>
          <w:lang w:val="pl-PL"/>
        </w:rPr>
        <w:t>.</w:t>
      </w:r>
    </w:p>
    <w:p>
      <w:pPr>
        <w:pStyle w:val="Normal"/>
        <w:numPr>
          <w:ilvl w:val="0"/>
          <w:numId w:val="38"/>
        </w:numPr>
        <w:tabs>
          <w:tab w:val="clear" w:pos="709"/>
          <w:tab w:val="left" w:pos="360" w:leader="none"/>
        </w:tabs>
        <w:spacing w:before="120" w:after="120"/>
        <w:ind w:left="360" w:hanging="36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Zgłoszenia nieobjęte Gwarancją lub nieposiadające niezbędnych dla obsługi informacji określonych w Załączniku A lub zgłoszenia złożone przez osoby nieupoważnione przez Zamawiającego, podlegają odrzuceniu.</w:t>
      </w:r>
    </w:p>
    <w:p>
      <w:pPr>
        <w:pStyle w:val="Normal"/>
        <w:spacing w:before="120" w:after="12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 5</w:t>
      </w:r>
    </w:p>
    <w:p>
      <w:pPr>
        <w:pStyle w:val="Normal"/>
        <w:spacing w:before="120" w:after="120"/>
        <w:jc w:val="both"/>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Poza wyraźnie określonymi w Gwarancji uprawnieniami, Wykonawca nie przyznaje Zamawiającemu</w:t>
      </w:r>
      <w:r>
        <w:rPr>
          <w:rFonts w:cs="Calibri" w:ascii="Calibri" w:hAnsi="Calibri" w:asciiTheme="minorHAnsi" w:cstheme="minorHAnsi" w:hAnsiTheme="minorHAnsi"/>
          <w:b/>
          <w:color w:val="000000"/>
          <w:sz w:val="18"/>
          <w:szCs w:val="18"/>
        </w:rPr>
        <w:t xml:space="preserve"> </w:t>
      </w:r>
      <w:r>
        <w:rPr>
          <w:rFonts w:cs="Calibri" w:ascii="Calibri" w:hAnsi="Calibri" w:asciiTheme="minorHAnsi" w:cstheme="minorHAnsi" w:hAnsiTheme="minorHAnsi"/>
          <w:color w:val="000000"/>
          <w:sz w:val="18"/>
          <w:szCs w:val="18"/>
        </w:rPr>
        <w:t>jakichkolwiek innych praw ani w sposób wyraźny, ani jakiekolwiek inny.</w:t>
      </w:r>
    </w:p>
    <w:p>
      <w:pPr>
        <w:pStyle w:val="Normal"/>
        <w:spacing w:before="120" w:after="120"/>
        <w:jc w:val="cente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 6</w:t>
      </w:r>
    </w:p>
    <w:p>
      <w:pPr>
        <w:pStyle w:val="Normal"/>
        <w:spacing w:before="120" w:after="120"/>
        <w:rPr>
          <w:rFonts w:ascii="Calibri" w:hAnsi="Calibri" w:cs="Calibri" w:asciiTheme="minorHAnsi" w:cstheme="minorHAnsi" w:hAnsiTheme="minorHAnsi"/>
          <w:color w:val="000000"/>
          <w:sz w:val="18"/>
          <w:szCs w:val="18"/>
        </w:rPr>
      </w:pPr>
      <w:r>
        <w:rPr>
          <w:rFonts w:cs="Calibri" w:ascii="Calibri" w:hAnsi="Calibri" w:asciiTheme="minorHAnsi" w:cstheme="minorHAnsi" w:hAnsiTheme="minorHAnsi"/>
          <w:color w:val="000000"/>
          <w:sz w:val="18"/>
          <w:szCs w:val="18"/>
        </w:rPr>
        <w:t>Wzór zgłoszenia w ramach Gwarancji stanowi Załącznik A do niniejszego Załącznika:</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ZAŁĄCZNIK A</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WZÓR ZGŁOSZENIA GWARANCYJNEGO</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21"/>
        <w:gridCol w:w="5038"/>
      </w:tblGrid>
      <w:tr>
        <w:trPr/>
        <w:tc>
          <w:tcPr>
            <w:tcW w:w="9059" w:type="dxa"/>
            <w:gridSpan w:val="2"/>
            <w:tcBorders>
              <w:top w:val="single" w:sz="4" w:space="0" w:color="000000"/>
              <w:left w:val="single" w:sz="4" w:space="0" w:color="000000"/>
              <w:bottom w:val="single" w:sz="4" w:space="0" w:color="000000"/>
              <w:right w:val="single" w:sz="4" w:space="0" w:color="000000"/>
            </w:tcBorders>
            <w:shd w:color="auto" w:fill="auto" w:val="pct10"/>
          </w:tcPr>
          <w:p>
            <w:pPr>
              <w:pStyle w:val="Standard"/>
              <w:widowControl w:val="false"/>
              <w:spacing w:before="60" w:after="60"/>
              <w:rPr>
                <w:rFonts w:ascii="Calibri" w:hAnsi="Calibri" w:cs="Calibri" w:asciiTheme="minorHAnsi" w:cstheme="minorHAnsi" w:hAnsiTheme="minorHAnsi"/>
                <w:b/>
                <w:sz w:val="18"/>
                <w:szCs w:val="18"/>
                <w:lang w:val="pl-PL"/>
              </w:rPr>
            </w:pPr>
            <w:r>
              <w:rPr>
                <w:rFonts w:cs="Calibri" w:ascii="Calibri" w:hAnsi="Calibri" w:asciiTheme="minorHAnsi" w:cstheme="minorHAnsi" w:hAnsiTheme="minorHAnsi"/>
                <w:b/>
                <w:sz w:val="18"/>
                <w:szCs w:val="18"/>
                <w:lang w:val="pl-PL"/>
              </w:rPr>
              <w:t>ZGŁOSZENIE GWARANCYJNE</w:t>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Data</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Godzina</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Numer umowy</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Firma</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Zgłaszający</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Telefon zgłaszającego</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Adres poczty elektronicznej zgłaszającego</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Miejsce instalacji programu (lokalizacja)</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Numer IDK klienta oraz ID instalacji</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21"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Wersja programu</w:t>
            </w:r>
          </w:p>
        </w:tc>
        <w:tc>
          <w:tcPr>
            <w:tcW w:w="503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bl>
    <w:p>
      <w:pPr>
        <w:pStyle w:val="Standard"/>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20"/>
        <w:gridCol w:w="5039"/>
      </w:tblGrid>
      <w:tr>
        <w:trPr/>
        <w:tc>
          <w:tcPr>
            <w:tcW w:w="9059" w:type="dxa"/>
            <w:gridSpan w:val="2"/>
            <w:tcBorders>
              <w:top w:val="single" w:sz="4" w:space="0" w:color="000000"/>
              <w:left w:val="single" w:sz="4" w:space="0" w:color="000000"/>
              <w:bottom w:val="single" w:sz="4" w:space="0" w:color="000000"/>
              <w:right w:val="single" w:sz="4" w:space="0" w:color="000000"/>
            </w:tcBorders>
            <w:shd w:color="auto" w:fill="auto" w:val="pct10"/>
          </w:tcPr>
          <w:p>
            <w:pPr>
              <w:pStyle w:val="Standard"/>
              <w:widowControl w:val="false"/>
              <w:spacing w:before="60" w:after="60"/>
              <w:rPr>
                <w:rFonts w:ascii="Calibri" w:hAnsi="Calibri" w:cs="Calibri" w:asciiTheme="minorHAnsi" w:cstheme="minorHAnsi" w:hAnsiTheme="minorHAnsi"/>
                <w:b/>
                <w:sz w:val="18"/>
                <w:szCs w:val="18"/>
                <w:lang w:val="pl-PL"/>
              </w:rPr>
            </w:pPr>
            <w:r>
              <w:rPr>
                <w:rFonts w:cs="Calibri" w:ascii="Calibri" w:hAnsi="Calibri" w:asciiTheme="minorHAnsi" w:cstheme="minorHAnsi" w:hAnsiTheme="minorHAnsi"/>
                <w:b/>
                <w:sz w:val="18"/>
                <w:szCs w:val="18"/>
                <w:lang w:val="pl-PL"/>
              </w:rPr>
              <w:t>OPIS ZGŁOSZENIA</w:t>
            </w:r>
          </w:p>
        </w:tc>
      </w:tr>
      <w:tr>
        <w:trPr/>
        <w:tc>
          <w:tcPr>
            <w:tcW w:w="4020"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Miejsce w programie, w którym występuje wada</w:t>
            </w:r>
          </w:p>
        </w:tc>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rHeight w:val="1964" w:hRule="atLeast"/>
        </w:trPr>
        <w:tc>
          <w:tcPr>
            <w:tcW w:w="4020"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Szczegółowy opis wady</w:t>
            </w:r>
          </w:p>
        </w:tc>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bl>
    <w:p>
      <w:pPr>
        <w:pStyle w:val="Standard"/>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19"/>
        <w:gridCol w:w="5040"/>
      </w:tblGrid>
      <w:tr>
        <w:trPr/>
        <w:tc>
          <w:tcPr>
            <w:tcW w:w="9059" w:type="dxa"/>
            <w:gridSpan w:val="2"/>
            <w:tcBorders>
              <w:top w:val="single" w:sz="4" w:space="0" w:color="000000"/>
              <w:left w:val="single" w:sz="4" w:space="0" w:color="000000"/>
              <w:bottom w:val="single" w:sz="4" w:space="0" w:color="000000"/>
              <w:right w:val="single" w:sz="4" w:space="0" w:color="000000"/>
            </w:tcBorders>
            <w:shd w:color="auto" w:fill="auto" w:val="pct10"/>
          </w:tcPr>
          <w:p>
            <w:pPr>
              <w:pStyle w:val="Standard"/>
              <w:widowControl w:val="false"/>
              <w:spacing w:before="60" w:after="60"/>
              <w:rPr>
                <w:rFonts w:ascii="Calibri" w:hAnsi="Calibri" w:cs="Calibri" w:asciiTheme="minorHAnsi" w:cstheme="minorHAnsi" w:hAnsiTheme="minorHAnsi"/>
                <w:b/>
                <w:sz w:val="18"/>
                <w:szCs w:val="18"/>
                <w:lang w:val="pl-PL"/>
              </w:rPr>
            </w:pPr>
            <w:r>
              <w:rPr>
                <w:rFonts w:cs="Calibri" w:ascii="Calibri" w:hAnsi="Calibri" w:asciiTheme="minorHAnsi" w:cstheme="minorHAnsi" w:hAnsiTheme="minorHAnsi"/>
                <w:b/>
                <w:sz w:val="18"/>
                <w:szCs w:val="18"/>
                <w:lang w:val="pl-PL"/>
              </w:rPr>
              <w:t>PODPIS ZGŁASZAJĄCEGO</w:t>
            </w:r>
          </w:p>
        </w:tc>
      </w:tr>
      <w:tr>
        <w:trPr/>
        <w:tc>
          <w:tcPr>
            <w:tcW w:w="4019"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 xml:space="preserve">Imię i nazwisko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r>
        <w:trPr/>
        <w:tc>
          <w:tcPr>
            <w:tcW w:w="4019" w:type="dxa"/>
            <w:tcBorders>
              <w:top w:val="single" w:sz="4" w:space="0" w:color="000000"/>
              <w:left w:val="single" w:sz="4" w:space="0" w:color="000000"/>
              <w:bottom w:val="single" w:sz="4" w:space="0" w:color="000000"/>
              <w:right w:val="single" w:sz="4" w:space="0" w:color="000000"/>
            </w:tcBorders>
            <w:shd w:color="auto" w:fill="auto" w:val="pct5"/>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ascii="Calibri" w:hAnsi="Calibri" w:asciiTheme="minorHAnsi" w:cstheme="minorHAnsi" w:hAnsiTheme="minorHAnsi"/>
                <w:sz w:val="18"/>
                <w:szCs w:val="18"/>
                <w:lang w:val="pl-PL"/>
              </w:rPr>
              <w:t>Podpis</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widowControl w:val="false"/>
              <w:spacing w:before="60" w:after="60"/>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tc>
      </w:tr>
    </w:tbl>
    <w:p>
      <w:pPr>
        <w:pStyle w:val="Standard"/>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p>
    <w:p>
      <w:pPr>
        <w:pStyle w:val="Standard"/>
        <w:rPr>
          <w:rFonts w:ascii="Calibri" w:hAnsi="Calibri" w:cs="Calibri" w:asciiTheme="minorHAnsi" w:cstheme="minorHAnsi" w:hAnsiTheme="minorHAnsi"/>
          <w:sz w:val="18"/>
          <w:szCs w:val="18"/>
          <w:lang w:val="pl-PL"/>
        </w:rPr>
      </w:pPr>
      <w:r>
        <w:rPr>
          <w:rFonts w:cs="Calibri" w:cstheme="minorHAnsi" w:ascii="Calibri" w:hAnsi="Calibri"/>
          <w:sz w:val="18"/>
          <w:szCs w:val="18"/>
          <w:lang w:val="pl-PL"/>
        </w:rPr>
      </w:r>
      <w:r>
        <w:br w:type="page"/>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ZAŁĄCZNIK NR 5</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BodyText2"/>
        <w:spacing w:before="120" w:after="120"/>
        <w:jc w:val="center"/>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SPECYFIKACJA </w:t>
      </w:r>
    </w:p>
    <w:p>
      <w:pPr>
        <w:pStyle w:val="Normal"/>
        <w:spacing w:before="120" w:after="12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Punktowanie"/>
        <w:numPr>
          <w:ilvl w:val="0"/>
          <w:numId w:val="0"/>
        </w:numPr>
        <w:spacing w:before="0" w:after="0"/>
        <w:ind w:left="0" w:hanging="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Punktowanie"/>
        <w:numPr>
          <w:ilvl w:val="0"/>
          <w:numId w:val="0"/>
        </w:numPr>
        <w:spacing w:before="0" w:after="0"/>
        <w:ind w:left="0" w:hanging="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spacing w:before="120" w:after="120"/>
        <w:jc w:val="both"/>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r>
        <w:br w:type="page"/>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ZAŁĄCZNIK NR 6</w:t>
      </w:r>
    </w:p>
    <w:p>
      <w:pPr>
        <w:pStyle w:val="Normal"/>
        <w:spacing w:before="120" w:after="120"/>
        <w:jc w:val="center"/>
        <w:rPr>
          <w:rFonts w:ascii="Calibri" w:hAnsi="Calibri" w:cs="Calibri" w:asciiTheme="minorHAnsi" w:cstheme="minorHAnsi" w:hAnsiTheme="minorHAnsi"/>
          <w:b/>
          <w:color w:val="000000"/>
          <w:sz w:val="18"/>
          <w:szCs w:val="18"/>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Normal"/>
        <w:spacing w:before="120" w:after="120"/>
        <w:rPr>
          <w:rFonts w:ascii="Calibri" w:hAnsi="Calibri" w:cs="Calibri" w:asciiTheme="minorHAnsi" w:cstheme="minorHAnsi" w:hAnsiTheme="minorHAnsi"/>
          <w:bCs/>
          <w:color w:val="000000"/>
          <w:sz w:val="18"/>
          <w:szCs w:val="18"/>
        </w:rPr>
      </w:pPr>
      <w:r>
        <w:rPr>
          <w:rFonts w:cs="Calibri" w:cstheme="minorHAnsi" w:ascii="Calibri" w:hAnsi="Calibri"/>
          <w:bCs/>
          <w:color w:val="000000"/>
          <w:sz w:val="18"/>
          <w:szCs w:val="18"/>
        </w:rPr>
      </w:r>
    </w:p>
    <w:p>
      <w:pPr>
        <w:pStyle w:val="Normal"/>
        <w:spacing w:before="120" w:after="120"/>
        <w:jc w:val="center"/>
        <w:rPr>
          <w:rFonts w:ascii="Calibri" w:hAnsi="Calibri" w:cs="Calibri" w:asciiTheme="minorHAnsi" w:cstheme="minorHAnsi" w:hAnsiTheme="minorHAnsi"/>
          <w:b/>
          <w:color w:val="000000"/>
          <w:sz w:val="18"/>
          <w:szCs w:val="18"/>
        </w:rPr>
      </w:pPr>
      <w:bookmarkStart w:id="2" w:name="_Toc40171537"/>
      <w:r>
        <w:rPr>
          <w:rFonts w:cs="Calibri" w:ascii="Calibri" w:hAnsi="Calibri" w:asciiTheme="minorHAnsi" w:cstheme="minorHAnsi" w:hAnsiTheme="minorHAnsi"/>
          <w:b/>
          <w:color w:val="000000"/>
          <w:sz w:val="18"/>
          <w:szCs w:val="18"/>
        </w:rPr>
        <w:t>INFRASTRUKTURA SPRZĘTOWA</w:t>
      </w:r>
      <w:bookmarkEnd w:id="2"/>
    </w:p>
    <w:p>
      <w:pPr>
        <w:pStyle w:val="Normal"/>
        <w:spacing w:before="120" w:after="120"/>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r>
        <w:br w:type="page"/>
      </w:r>
    </w:p>
    <w:p>
      <w:pPr>
        <w:pStyle w:val="Standard"/>
        <w:widowControl/>
        <w:spacing w:before="120" w:after="120"/>
        <w:jc w:val="center"/>
        <w:rPr>
          <w:rFonts w:ascii="Calibri" w:hAnsi="Calibri" w:cs="Calibri" w:asciiTheme="minorHAnsi" w:cstheme="minorHAnsi" w:hAnsiTheme="minorHAnsi"/>
          <w:lang w:val="pl-PL"/>
        </w:rPr>
      </w:pPr>
      <w:r>
        <w:rPr>
          <w:rFonts w:cs="Calibri" w:ascii="Calibri" w:hAnsi="Calibri" w:asciiTheme="minorHAnsi" w:cstheme="minorHAnsi" w:hAnsiTheme="minorHAnsi"/>
          <w:b/>
          <w:color w:val="000000"/>
          <w:sz w:val="18"/>
          <w:szCs w:val="18"/>
          <w:lang w:val="pl-PL"/>
        </w:rPr>
        <w:t>ZAŁĄCZNIK NR 7</w:t>
      </w:r>
    </w:p>
    <w:p>
      <w:pPr>
        <w:pStyle w:val="Normal"/>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color w:val="000000"/>
          <w:sz w:val="18"/>
          <w:szCs w:val="18"/>
        </w:rPr>
        <w:t>UMOWA POWIERZENIA PRZETWARZANIA DANYCH OSOBOWYCH</w:t>
      </w:r>
    </w:p>
    <w:p>
      <w:pPr>
        <w:pStyle w:val="Normal"/>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W dniu </w:t>
      </w:r>
      <w:r>
        <w:rPr>
          <w:rFonts w:cs="Calibri" w:ascii="Calibri" w:hAnsi="Calibri" w:asciiTheme="minorHAnsi" w:cstheme="minorHAnsi" w:hAnsiTheme="minorHAnsi"/>
          <w:kern w:val="2"/>
          <w:sz w:val="18"/>
          <w:szCs w:val="18"/>
          <w:highlight w:val="yellow"/>
        </w:rPr>
        <w:t xml:space="preserve">______________________ </w:t>
      </w:r>
      <w:r>
        <w:rPr>
          <w:rFonts w:cs="Calibri" w:ascii="Calibri" w:hAnsi="Calibri" w:asciiTheme="minorHAnsi" w:cstheme="minorHAnsi" w:hAnsiTheme="minorHAnsi"/>
          <w:kern w:val="2"/>
          <w:sz w:val="18"/>
          <w:szCs w:val="18"/>
        </w:rPr>
        <w:t xml:space="preserve">w </w:t>
      </w:r>
      <w:r>
        <w:rPr>
          <w:rFonts w:cs="Calibri" w:ascii="Calibri" w:hAnsi="Calibri" w:asciiTheme="minorHAnsi" w:cstheme="minorHAnsi" w:hAnsiTheme="minorHAnsi"/>
          <w:color w:val="000000"/>
          <w:sz w:val="18"/>
          <w:szCs w:val="18"/>
          <w:highlight w:val="yellow"/>
        </w:rPr>
        <w:t>_______________________</w:t>
      </w:r>
      <w:r>
        <w:rPr>
          <w:rFonts w:cs="Calibri" w:ascii="Calibri" w:hAnsi="Calibri" w:asciiTheme="minorHAnsi" w:cstheme="minorHAnsi" w:hAnsiTheme="minorHAnsi"/>
          <w:kern w:val="2"/>
          <w:sz w:val="18"/>
          <w:szCs w:val="18"/>
        </w:rPr>
        <w:t xml:space="preserve"> pomiędzy:</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tabs>
          <w:tab w:val="clear" w:pos="709"/>
          <w:tab w:val="left" w:pos="0" w:leader="none"/>
        </w:tabs>
        <w:spacing w:before="120" w:after="120"/>
        <w:jc w:val="both"/>
        <w:rPr>
          <w:rFonts w:ascii="Calibri" w:hAnsi="Calibri" w:cs="Calibri" w:asciiTheme="minorHAnsi" w:cstheme="minorHAnsi" w:hAnsiTheme="minorHAnsi"/>
        </w:rPr>
      </w:pPr>
      <w:r>
        <w:rPr>
          <w:rFonts w:eastAsia="Calibri" w:cs="Calibri" w:ascii="Calibri" w:hAnsi="Calibri" w:asciiTheme="minorHAnsi" w:cstheme="minorHAnsi" w:hAnsiTheme="minorHAnsi"/>
          <w:b/>
          <w:kern w:val="2"/>
          <w:sz w:val="18"/>
          <w:szCs w:val="18"/>
        </w:rPr>
        <w:t xml:space="preserve"> </w:t>
      </w:r>
      <w:r>
        <w:rPr>
          <w:rFonts w:cs="Calibri" w:ascii="Calibri" w:hAnsi="Calibri" w:asciiTheme="minorHAnsi" w:cstheme="minorHAnsi" w:hAnsiTheme="minorHAnsi"/>
          <w:kern w:val="2"/>
          <w:sz w:val="18"/>
          <w:szCs w:val="18"/>
        </w:rPr>
        <w:t>zwaną dalej „</w:t>
      </w:r>
      <w:r>
        <w:rPr>
          <w:rFonts w:cs="Calibri" w:ascii="Calibri" w:hAnsi="Calibri" w:asciiTheme="minorHAnsi" w:cstheme="minorHAnsi" w:hAnsiTheme="minorHAnsi"/>
          <w:b/>
          <w:kern w:val="2"/>
          <w:sz w:val="18"/>
          <w:szCs w:val="18"/>
        </w:rPr>
        <w:t>Wykonawcą</w:t>
      </w:r>
      <w:r>
        <w:rPr>
          <w:rFonts w:cs="Calibri" w:ascii="Calibri" w:hAnsi="Calibri" w:asciiTheme="minorHAnsi" w:cstheme="minorHAnsi" w:hAnsiTheme="minorHAnsi"/>
          <w:kern w:val="2"/>
          <w:sz w:val="18"/>
          <w:szCs w:val="18"/>
        </w:rPr>
        <w:t>” lub „</w:t>
      </w:r>
      <w:r>
        <w:rPr>
          <w:rFonts w:cs="Calibri" w:ascii="Calibri" w:hAnsi="Calibri" w:asciiTheme="minorHAnsi" w:cstheme="minorHAnsi" w:hAnsiTheme="minorHAnsi"/>
          <w:b/>
          <w:kern w:val="2"/>
          <w:sz w:val="18"/>
          <w:szCs w:val="18"/>
        </w:rPr>
        <w:t>Przetwarzającym</w:t>
      </w:r>
      <w:r>
        <w:rPr>
          <w:rFonts w:cs="Calibri" w:ascii="Calibri" w:hAnsi="Calibri" w:asciiTheme="minorHAnsi" w:cstheme="minorHAnsi" w:hAnsiTheme="minorHAnsi"/>
          <w:kern w:val="2"/>
          <w:sz w:val="18"/>
          <w:szCs w:val="18"/>
        </w:rPr>
        <w:t>”,</w:t>
      </w:r>
    </w:p>
    <w:p>
      <w:pPr>
        <w:pStyle w:val="Normal"/>
        <w:spacing w:before="120" w:after="120"/>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a</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highlight w:val="yellow"/>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spacing w:before="120" w:after="12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highlight w:val="yellow"/>
        </w:rPr>
        <w:t>_____________________________________________________________________________________________________</w:t>
      </w:r>
    </w:p>
    <w:p>
      <w:pPr>
        <w:pStyle w:val="Normal"/>
        <w:tabs>
          <w:tab w:val="clear" w:pos="709"/>
          <w:tab w:val="left" w:pos="0" w:leader="none"/>
        </w:tabs>
        <w:spacing w:before="120" w:after="120"/>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zwaną dalej „</w:t>
      </w:r>
      <w:r>
        <w:rPr>
          <w:rFonts w:cs="Calibri" w:ascii="Calibri" w:hAnsi="Calibri" w:asciiTheme="minorHAnsi" w:cstheme="minorHAnsi" w:hAnsiTheme="minorHAnsi"/>
          <w:b/>
          <w:kern w:val="2"/>
          <w:sz w:val="18"/>
          <w:szCs w:val="18"/>
        </w:rPr>
        <w:t>Zamawiającym</w:t>
      </w:r>
      <w:r>
        <w:rPr>
          <w:rFonts w:cs="Calibri" w:ascii="Calibri" w:hAnsi="Calibri" w:asciiTheme="minorHAnsi" w:cstheme="minorHAnsi" w:hAnsiTheme="minorHAnsi"/>
          <w:kern w:val="2"/>
          <w:sz w:val="18"/>
          <w:szCs w:val="18"/>
        </w:rPr>
        <w:t>” lub „</w:t>
      </w:r>
      <w:r>
        <w:rPr>
          <w:rFonts w:cs="Calibri" w:ascii="Calibri" w:hAnsi="Calibri" w:asciiTheme="minorHAnsi" w:cstheme="minorHAnsi" w:hAnsiTheme="minorHAnsi"/>
          <w:b/>
          <w:kern w:val="2"/>
          <w:sz w:val="18"/>
          <w:szCs w:val="18"/>
        </w:rPr>
        <w:t>Powierzającym</w:t>
      </w:r>
      <w:r>
        <w:rPr>
          <w:rFonts w:cs="Calibri" w:ascii="Calibri" w:hAnsi="Calibri" w:asciiTheme="minorHAnsi" w:cstheme="minorHAnsi" w:hAnsiTheme="minorHAnsi"/>
          <w:kern w:val="2"/>
          <w:sz w:val="18"/>
          <w:szCs w:val="18"/>
        </w:rPr>
        <w:t>”</w:t>
      </w:r>
    </w:p>
    <w:p>
      <w:pPr>
        <w:pStyle w:val="Normal"/>
        <w:tabs>
          <w:tab w:val="clear" w:pos="709"/>
          <w:tab w:val="left" w:pos="0" w:leader="none"/>
        </w:tabs>
        <w:spacing w:before="120" w:after="120"/>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zwanymi dalej łącznie „</w:t>
      </w:r>
      <w:r>
        <w:rPr>
          <w:rFonts w:cs="Calibri" w:ascii="Calibri" w:hAnsi="Calibri" w:asciiTheme="minorHAnsi" w:cstheme="minorHAnsi" w:hAnsiTheme="minorHAnsi"/>
          <w:b/>
          <w:kern w:val="2"/>
          <w:sz w:val="18"/>
          <w:szCs w:val="18"/>
        </w:rPr>
        <w:t>Stronami</w:t>
      </w:r>
      <w:r>
        <w:rPr>
          <w:rFonts w:cs="Calibri" w:ascii="Calibri" w:hAnsi="Calibri" w:asciiTheme="minorHAnsi" w:cstheme="minorHAnsi" w:hAnsiTheme="minorHAnsi"/>
          <w:kern w:val="2"/>
          <w:sz w:val="18"/>
          <w:szCs w:val="18"/>
        </w:rPr>
        <w:t>" lub oddzielnie „</w:t>
      </w:r>
      <w:r>
        <w:rPr>
          <w:rFonts w:cs="Calibri" w:ascii="Calibri" w:hAnsi="Calibri" w:asciiTheme="minorHAnsi" w:cstheme="minorHAnsi" w:hAnsiTheme="minorHAnsi"/>
          <w:b/>
          <w:kern w:val="2"/>
          <w:sz w:val="18"/>
          <w:szCs w:val="18"/>
        </w:rPr>
        <w:t>Stroną</w:t>
      </w:r>
      <w:r>
        <w:rPr>
          <w:rFonts w:cs="Calibri" w:ascii="Calibri" w:hAnsi="Calibri" w:asciiTheme="minorHAnsi" w:cstheme="minorHAnsi" w:hAnsiTheme="minorHAnsi"/>
          <w:kern w:val="2"/>
          <w:sz w:val="18"/>
          <w:szCs w:val="18"/>
        </w:rPr>
        <w:t>".</w:t>
      </w:r>
    </w:p>
    <w:p>
      <w:pPr>
        <w:pStyle w:val="Normal"/>
        <w:tabs>
          <w:tab w:val="clear" w:pos="709"/>
          <w:tab w:val="left" w:pos="0" w:leader="none"/>
        </w:tabs>
        <w:spacing w:before="120" w:after="120"/>
        <w:rPr>
          <w:rFonts w:ascii="Calibri" w:hAnsi="Calibri" w:cs="Calibri" w:asciiTheme="minorHAnsi" w:cstheme="minorHAnsi" w:hAnsiTheme="minorHAnsi"/>
          <w:kern w:val="2"/>
          <w:sz w:val="18"/>
          <w:szCs w:val="18"/>
        </w:rPr>
      </w:pPr>
      <w:r>
        <w:rPr>
          <w:rFonts w:cs="Calibri" w:cstheme="minorHAnsi" w:ascii="Calibri" w:hAnsi="Calibri"/>
          <w:kern w:val="2"/>
          <w:sz w:val="18"/>
          <w:szCs w:val="18"/>
        </w:rPr>
      </w:r>
    </w:p>
    <w:p>
      <w:pPr>
        <w:pStyle w:val="Normal"/>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i/>
          <w:kern w:val="2"/>
          <w:sz w:val="18"/>
          <w:szCs w:val="18"/>
        </w:rPr>
        <w:t>W związku z tym, że:</w:t>
      </w:r>
    </w:p>
    <w:p>
      <w:pPr>
        <w:pStyle w:val="ListParagraph"/>
        <w:numPr>
          <w:ilvl w:val="2"/>
          <w:numId w:val="30"/>
        </w:numPr>
        <w:tabs>
          <w:tab w:val="clear" w:pos="709"/>
        </w:tabs>
        <w:spacing w:before="120" w:after="120"/>
        <w:ind w:left="993"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i/>
          <w:kern w:val="2"/>
          <w:sz w:val="18"/>
          <w:szCs w:val="18"/>
        </w:rPr>
        <w:t xml:space="preserve">Strony zawarły Umowę Wdrożeniową Nr </w:t>
      </w:r>
      <w:r>
        <w:rPr>
          <w:rFonts w:cs="Calibri" w:ascii="Calibri" w:hAnsi="Calibri" w:asciiTheme="minorHAnsi" w:cstheme="minorHAnsi" w:hAnsiTheme="minorHAnsi"/>
          <w:i/>
          <w:kern w:val="2"/>
          <w:sz w:val="18"/>
          <w:szCs w:val="18"/>
          <w:highlight w:val="yellow"/>
        </w:rPr>
        <w:t>______________ z dnia __________________</w:t>
      </w:r>
      <w:r>
        <w:rPr>
          <w:rFonts w:cs="Calibri" w:ascii="Calibri" w:hAnsi="Calibri" w:asciiTheme="minorHAnsi" w:cstheme="minorHAnsi" w:hAnsiTheme="minorHAnsi"/>
          <w:i/>
          <w:kern w:val="2"/>
          <w:sz w:val="18"/>
          <w:szCs w:val="18"/>
        </w:rPr>
        <w:t>;</w:t>
      </w:r>
    </w:p>
    <w:p>
      <w:pPr>
        <w:pStyle w:val="ListParagraph"/>
        <w:numPr>
          <w:ilvl w:val="2"/>
          <w:numId w:val="30"/>
        </w:numPr>
        <w:tabs>
          <w:tab w:val="clear" w:pos="709"/>
        </w:tabs>
        <w:spacing w:before="120" w:after="120"/>
        <w:ind w:left="993"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i/>
          <w:kern w:val="2"/>
          <w:sz w:val="18"/>
          <w:szCs w:val="18"/>
        </w:rPr>
        <w:t>konieczne jest powierzenie przez Zamawiającego Wykonawcy przetwarzania danych osobowych w związku z wykonywaniem Umowy Wdrożeniowej, opisanej w pkt 1) powyżej;</w:t>
      </w:r>
    </w:p>
    <w:p>
      <w:pPr>
        <w:pStyle w:val="ListParagraph"/>
        <w:numPr>
          <w:ilvl w:val="2"/>
          <w:numId w:val="30"/>
        </w:numPr>
        <w:tabs>
          <w:tab w:val="clear" w:pos="709"/>
        </w:tabs>
        <w:spacing w:before="120" w:after="120"/>
        <w:ind w:left="993"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i/>
          <w:kern w:val="2"/>
          <w:sz w:val="18"/>
          <w:szCs w:val="18"/>
        </w:rPr>
        <w:t>możliwe jest dalsze powierzenie przez Wykonawcę przetwarzania danych osobowych w związku z wykonywaniem Umowy Wdrożeniowej, opisanej w pkt 1) powyżej;</w:t>
      </w:r>
    </w:p>
    <w:p>
      <w:pPr>
        <w:pStyle w:val="ListParagraph"/>
        <w:numPr>
          <w:ilvl w:val="2"/>
          <w:numId w:val="30"/>
        </w:numPr>
        <w:tabs>
          <w:tab w:val="clear" w:pos="709"/>
        </w:tabs>
        <w:spacing w:before="120" w:after="120"/>
        <w:ind w:left="993"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i/>
          <w:kern w:val="2"/>
          <w:sz w:val="18"/>
          <w:szCs w:val="18"/>
        </w:rPr>
        <w:t>Strony zamierzają zapewnić bezpieczeństwo przetwarzania danych osobowych,</w:t>
      </w:r>
    </w:p>
    <w:p>
      <w:pPr>
        <w:pStyle w:val="Normal"/>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i/>
          <w:kern w:val="2"/>
          <w:sz w:val="18"/>
          <w:szCs w:val="18"/>
        </w:rPr>
        <w:t>Strony postanowiły, co następuje:</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Definicje</w:t>
      </w:r>
    </w:p>
    <w:p>
      <w:pPr>
        <w:pStyle w:val="Normal"/>
        <w:tabs>
          <w:tab w:val="clear" w:pos="709"/>
          <w:tab w:val="left" w:pos="0" w:leader="none"/>
        </w:tabs>
        <w:spacing w:before="120" w:after="120"/>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Dla potrzeb niniejszej Umowy Strony przyjmują następujące znaczenie dla poniższych pojęć:</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xml:space="preserve">Administrator Danych Osobowych (ADO) </w:t>
      </w:r>
      <w:r>
        <w:rPr>
          <w:rFonts w:cs="Calibri" w:ascii="Calibri" w:hAnsi="Calibri" w:asciiTheme="minorHAnsi" w:cstheme="minorHAnsi" w:hAnsiTheme="minorHAnsi"/>
          <w:sz w:val="18"/>
          <w:szCs w:val="18"/>
          <w:shd w:fill="FFFFFF" w:val="clear"/>
        </w:rPr>
        <w:t>oznacza osobę fizyczną lub prawną, organ publiczny, jednostkę lub inny podmiot, który samodzielnie lub wspólnie z innymi ustala cele i sposoby przetwarzania danych osobowych; ADO</w:t>
        <w:br/>
        <w:t>w rozumieniu niniejszej umowy jest Zamawiający;</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Dane Osobowe</w:t>
      </w:r>
      <w:r>
        <w:rPr>
          <w:rFonts w:cs="Calibri" w:ascii="Calibri" w:hAnsi="Calibri" w:asciiTheme="minorHAnsi" w:cstheme="minorHAnsi" w:hAnsiTheme="minorHAnsi"/>
          <w:kern w:val="2"/>
          <w:sz w:val="18"/>
          <w:szCs w:val="18"/>
        </w:rPr>
        <w:t xml:space="preserve"> – </w:t>
      </w:r>
      <w:r>
        <w:rPr>
          <w:rFonts w:cs="Calibri" w:ascii="Calibri" w:hAnsi="Calibri" w:asciiTheme="minorHAnsi" w:cstheme="minorHAnsi" w:hAnsiTheme="minorHAnsi"/>
          <w:sz w:val="18"/>
          <w:szCs w:val="18"/>
          <w:shd w:fill="FFFFFF" w:val="clear"/>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Infrastruktura Informatyczna</w:t>
      </w:r>
      <w:r>
        <w:rPr>
          <w:rFonts w:cs="Calibri" w:ascii="Calibri" w:hAnsi="Calibri" w:asciiTheme="minorHAnsi" w:cstheme="minorHAnsi" w:hAnsiTheme="minorHAnsi"/>
          <w:kern w:val="2"/>
          <w:sz w:val="18"/>
          <w:szCs w:val="18"/>
        </w:rPr>
        <w:t xml:space="preserve"> – całokształt rozwiązań sprzętowo-programowych i organizacyjnych stanowiących podstawę wdrożenia i eksploatacji systemów informatycznych;</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xml:space="preserve">Przetwarzanie Danych Osobowych - </w:t>
      </w:r>
      <w:r>
        <w:rPr>
          <w:rFonts w:cs="Calibri" w:ascii="Calibri" w:hAnsi="Calibri" w:asciiTheme="minorHAnsi" w:cstheme="minorHAnsi" w:hAnsiTheme="minorHAnsi"/>
          <w:sz w:val="18"/>
          <w:szCs w:val="18"/>
          <w:shd w:fill="FFFFFF" w:val="clear"/>
        </w:rPr>
        <w:t>oznacza operację lub zestaw operacji wykonywanych na danych osobowych lub zestawach danych osobowych w sposób zautomatyzowany lub niezautomatyzowany,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rFonts w:cs="Calibri" w:ascii="Calibri" w:hAnsi="Calibri" w:asciiTheme="minorHAnsi" w:cstheme="minorHAnsi" w:hAnsiTheme="minorHAnsi"/>
          <w:kern w:val="2"/>
          <w:sz w:val="18"/>
          <w:szCs w:val="18"/>
        </w:rPr>
        <w:t>;</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Procesor</w:t>
      </w:r>
      <w:r>
        <w:rPr>
          <w:rFonts w:cs="Calibri" w:ascii="Calibri" w:hAnsi="Calibri" w:asciiTheme="minorHAnsi" w:cstheme="minorHAnsi" w:hAnsiTheme="minorHAnsi"/>
          <w:kern w:val="2"/>
          <w:sz w:val="18"/>
          <w:szCs w:val="18"/>
        </w:rPr>
        <w:t xml:space="preserve"> – podmiot, któremu ADO powierzył Przetwarzanie Danych Osobowych; w Umowie rolę Procesora pełni Wykonawca;</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Podprocesor</w:t>
      </w:r>
      <w:r>
        <w:rPr>
          <w:rFonts w:cs="Calibri" w:ascii="Calibri" w:hAnsi="Calibri" w:asciiTheme="minorHAnsi" w:cstheme="minorHAnsi" w:hAnsiTheme="minorHAnsi"/>
          <w:kern w:val="2"/>
          <w:sz w:val="18"/>
          <w:szCs w:val="18"/>
        </w:rPr>
        <w:t xml:space="preserve"> – podmiot, któremu Procesor powierzył Przetwarzanie Danych Osobowych; w Umowie rolę Podprocesora może pełnić podwykonawca Wykonawcy;</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Podpowierzenie</w:t>
      </w:r>
      <w:r>
        <w:rPr>
          <w:rFonts w:cs="Calibri" w:ascii="Calibri" w:hAnsi="Calibri" w:asciiTheme="minorHAnsi" w:cstheme="minorHAnsi" w:hAnsiTheme="minorHAnsi"/>
          <w:kern w:val="2"/>
          <w:sz w:val="18"/>
          <w:szCs w:val="18"/>
        </w:rPr>
        <w:t xml:space="preserve"> (zwane również Dalszym Powierzeniem Przetwarzania Danych Osobowych) – powierzenie przez Procesora Przetwarzania Danych Osobowych Podprocesorowi; </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System Informatyczny</w:t>
      </w:r>
      <w:r>
        <w:rPr>
          <w:rFonts w:cs="Calibri" w:ascii="Calibri" w:hAnsi="Calibri" w:asciiTheme="minorHAnsi" w:cstheme="minorHAnsi" w:hAnsiTheme="minorHAnsi"/>
          <w:kern w:val="2"/>
          <w:sz w:val="18"/>
          <w:szCs w:val="18"/>
        </w:rPr>
        <w:t xml:space="preserve"> – zespół współpracujących ze sobą urządzeń, programów, procedur przetwarzania informacji i narzędzi programowych zastosowanych w celu Przetwarzania Danych Osobowych;</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Umowa</w:t>
      </w:r>
      <w:r>
        <w:rPr>
          <w:rFonts w:cs="Calibri" w:ascii="Calibri" w:hAnsi="Calibri" w:asciiTheme="minorHAnsi" w:cstheme="minorHAnsi" w:hAnsiTheme="minorHAnsi"/>
          <w:kern w:val="2"/>
          <w:sz w:val="18"/>
          <w:szCs w:val="18"/>
        </w:rPr>
        <w:t xml:space="preserve"> – niniejsza umowa powierzenia przetwarzania danych osobowych;</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xml:space="preserve">Umowa Wdrożeniowa </w:t>
      </w:r>
      <w:r>
        <w:rPr>
          <w:rFonts w:cs="Calibri" w:ascii="Calibri" w:hAnsi="Calibri" w:asciiTheme="minorHAnsi" w:cstheme="minorHAnsi" w:hAnsiTheme="minorHAnsi"/>
          <w:kern w:val="2"/>
          <w:sz w:val="18"/>
          <w:szCs w:val="18"/>
        </w:rPr>
        <w:t xml:space="preserve"> – Umowa Wdrożeniowa </w:t>
      </w:r>
      <w:r>
        <w:rPr>
          <w:rFonts w:cs="Calibri" w:ascii="Calibri" w:hAnsi="Calibri" w:asciiTheme="minorHAnsi" w:cstheme="minorHAnsi" w:hAnsiTheme="minorHAnsi"/>
          <w:i/>
          <w:kern w:val="2"/>
          <w:sz w:val="18"/>
          <w:szCs w:val="18"/>
        </w:rPr>
        <w:t xml:space="preserve">Nr </w:t>
      </w:r>
      <w:r>
        <w:rPr>
          <w:rFonts w:cs="Calibri" w:ascii="Calibri" w:hAnsi="Calibri" w:asciiTheme="minorHAnsi" w:cstheme="minorHAnsi" w:hAnsiTheme="minorHAnsi"/>
          <w:i/>
          <w:kern w:val="2"/>
          <w:sz w:val="18"/>
          <w:szCs w:val="18"/>
          <w:highlight w:val="yellow"/>
        </w:rPr>
        <w:t>______________ z dnia __________________</w:t>
      </w:r>
      <w:r>
        <w:rPr>
          <w:rFonts w:cs="Calibri" w:ascii="Calibri" w:hAnsi="Calibri" w:asciiTheme="minorHAnsi" w:cstheme="minorHAnsi" w:hAnsiTheme="minorHAnsi"/>
          <w:i/>
          <w:kern w:val="2"/>
          <w:sz w:val="18"/>
          <w:szCs w:val="18"/>
        </w:rPr>
        <w:t>;</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Ustawa</w:t>
      </w:r>
      <w:r>
        <w:rPr>
          <w:rFonts w:cs="Calibri" w:ascii="Calibri" w:hAnsi="Calibri" w:asciiTheme="minorHAnsi" w:cstheme="minorHAnsi" w:hAnsiTheme="minorHAnsi"/>
          <w:kern w:val="2"/>
          <w:sz w:val="18"/>
          <w:szCs w:val="18"/>
        </w:rPr>
        <w:t xml:space="preserve"> – ustawa z  dnia 10 maja 2018 r. roku o ochronie danych osobowych (tj. Dz.U. z 2018 poz. 1000);</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RODO</w:t>
      </w:r>
      <w:r>
        <w:rPr>
          <w:rFonts w:cs="Calibri" w:ascii="Calibri" w:hAnsi="Calibri" w:asciiTheme="minorHAnsi" w:cstheme="minorHAnsi" w:hAnsiTheme="minorHAnsi"/>
          <w:kern w:val="2"/>
          <w:sz w:val="18"/>
          <w:szCs w:val="18"/>
        </w:rPr>
        <w:t xml:space="preserve"> - rozporządzenie Parlamentu Europejskiego i Rady (UE) 2016/679 z 27 kwietnia 2016 r. w sprawie ochrony osób fizycznych w związku z przetwarzaniem danych osobowych i w sprawie swobodnego przepływu takich danych oraz uchylenia dyrektywy 95/46/WE (DZ.Urz.UE.L.nr 119);</w:t>
      </w:r>
    </w:p>
    <w:p>
      <w:pPr>
        <w:pStyle w:val="ListParagraph"/>
        <w:numPr>
          <w:ilvl w:val="0"/>
          <w:numId w:val="55"/>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Zbiór Danych Osobowych -</w:t>
      </w:r>
      <w:r>
        <w:rPr>
          <w:rFonts w:cs="Calibri" w:ascii="Calibri" w:hAnsi="Calibri" w:asciiTheme="minorHAnsi" w:cstheme="minorHAnsi" w:hAnsiTheme="minorHAnsi"/>
          <w:kern w:val="2"/>
          <w:sz w:val="18"/>
          <w:szCs w:val="18"/>
        </w:rPr>
        <w:t xml:space="preserve"> </w:t>
      </w:r>
      <w:r>
        <w:rPr>
          <w:rFonts w:cs="Calibri" w:ascii="Calibri" w:hAnsi="Calibri" w:asciiTheme="minorHAnsi" w:cstheme="minorHAnsi" w:hAnsiTheme="minorHAnsi"/>
          <w:sz w:val="18"/>
          <w:szCs w:val="18"/>
          <w:shd w:fill="FFFFFF" w:val="clear"/>
        </w:rPr>
        <w:t>oznacza uporządkowany zestaw danych osobowych dostępnych według określonych kryteriów, niezależnie od tego, czy zestaw ten jest scentralizowany, zdecentralizowany czy rozproszony funkcjonalnie lub geograficznie.</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2</w:t>
      </w:r>
    </w:p>
    <w:p>
      <w:pPr>
        <w:pStyle w:val="ParagrafNume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Przedmiot Umowy</w:t>
      </w:r>
    </w:p>
    <w:p>
      <w:pPr>
        <w:pStyle w:val="ListParagraph"/>
        <w:numPr>
          <w:ilvl w:val="0"/>
          <w:numId w:val="56"/>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Zamawiający powierza Wykonawcy Przetwarzanie Danych Osobowych w Zbiorach Danych Osobowych, w celu i w zakresie o których mowa w ust. 2. </w:t>
      </w:r>
    </w:p>
    <w:p>
      <w:pPr>
        <w:pStyle w:val="ListParagraph"/>
        <w:numPr>
          <w:ilvl w:val="0"/>
          <w:numId w:val="56"/>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będzie Przetwarzał Dane Osobowe w ramach powierzenia Przetwarzania Danych Osobowych wyłącznie w celu i w zakresie niezbędnym do wykonania Umowy Wdrożeniowej.</w:t>
      </w:r>
    </w:p>
    <w:p>
      <w:pPr>
        <w:pStyle w:val="ListParagraph"/>
        <w:numPr>
          <w:ilvl w:val="0"/>
          <w:numId w:val="56"/>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Zakres Danych Osobowych powierzonych do Przetwarzania w Zbiorach Danych Osobowych w celu wykonania Umowy Wdrożeniowej stanowi Załączniku nr 8 do Umowy Wdrożeniowej.</w:t>
      </w:r>
    </w:p>
    <w:p>
      <w:pPr>
        <w:pStyle w:val="ListParagraph"/>
        <w:numPr>
          <w:ilvl w:val="0"/>
          <w:numId w:val="56"/>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nie może zmieniać celu ani zakresu Danych Osobowych powierzonych do Przetwarzania.</w:t>
      </w:r>
    </w:p>
    <w:p>
      <w:pPr>
        <w:pStyle w:val="ListParagraph"/>
        <w:numPr>
          <w:ilvl w:val="0"/>
          <w:numId w:val="56"/>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Każda ze Stron jest zobowiązana do wzajemnej i aktywnej współpracy przy wykonaniu Umowy.</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3</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Wykonanie Umowy</w:t>
      </w:r>
    </w:p>
    <w:p>
      <w:pPr>
        <w:pStyle w:val="ListParagraph"/>
        <w:numPr>
          <w:ilvl w:val="0"/>
          <w:numId w:val="57"/>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jest uprawniony do Przetwarzania Danych Osobowych, o których mowa w § 2 Umowy, na zasadach określonych w Umowie.</w:t>
      </w:r>
    </w:p>
    <w:p>
      <w:pPr>
        <w:pStyle w:val="ListParagraph"/>
        <w:numPr>
          <w:ilvl w:val="0"/>
          <w:numId w:val="57"/>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Wykonawca, w każdym przypadku, zobowiązuje się bezzwłocznie informować Zamawiającego o wnioskach o udostępnienie Danych Osobowych złożonych do Wykonawcy oraz przekazywać ich kopie Zamawiającemu. </w:t>
      </w:r>
    </w:p>
    <w:p>
      <w:pPr>
        <w:pStyle w:val="ListParagraph"/>
        <w:numPr>
          <w:ilvl w:val="0"/>
          <w:numId w:val="57"/>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nie może udostępniać Danych Osobowych, o których mowa w § 2 Umowy, bez uzyskania uprzedniej, pisemnej zgody Zamawiającego, z zastrzeżeniem ust.4.</w:t>
      </w:r>
    </w:p>
    <w:p>
      <w:pPr>
        <w:pStyle w:val="ListParagraph"/>
        <w:numPr>
          <w:ilvl w:val="0"/>
          <w:numId w:val="57"/>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Obowiązek uzyskania zgody Zamawiającego na udostępnienie Danych Osobowych, o których mowa w § 2 Umowy nie dotyczy organów publicznych, które na podstawie obowiązujących przepisów prawa są uprawnione do żądania udostępnienia informacji, w tym Danych Osobowych, bez uzyskiwania zgody Zamawiającego.</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4</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Przekazanie Danych Osobowych</w:t>
      </w:r>
    </w:p>
    <w:p>
      <w:pPr>
        <w:pStyle w:val="Normal"/>
        <w:tabs>
          <w:tab w:val="clear" w:pos="709"/>
          <w:tab w:val="left" w:pos="0" w:leader="none"/>
        </w:tabs>
        <w:spacing w:before="120" w:after="120"/>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Dane Osobowe, o których mowa w § 2 Umowy, zostają przekazane Wykonawcy w ramach wykonywania Umowy Wdrożeniowej, w trybie i na zasadach określonych w Umowie Wdrożeniowej.</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5</w:t>
      </w:r>
    </w:p>
    <w:p>
      <w:pPr>
        <w:pStyle w:val="Normal"/>
        <w:tabs>
          <w:tab w:val="clear" w:pos="709"/>
          <w:tab w:val="left" w:pos="0" w:leader="none"/>
        </w:tabs>
        <w:spacing w:before="120" w:after="120"/>
        <w:ind w:left="360" w:hanging="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Sposób przetwarzania Danych Osobowych</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zobowiązuje się Przetwarzać Dane Osobowe  zgodnie z udokumentowanymi poleceniami ADO. Poprzez zawarcie niniejszej Umowy ADO poleca Przetwarzanie Danych Osobowych Wykonawcy, a także każdej osobie działającej z upoważnienia Wykonawcy mającej dostęp do tych danych. Niniejsze postanowienie Strony zgodnie uznają za udokumentowane polecenie ADO, w rozumieniu art. 28 ust. 3 lit. a, w związku z art. 29 RODO.</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zobowiązuje się, że będzie Przetwarzał Dane Osobowe, w tym uzyskiwał do nich dostęp, w ramach Infrastruktury Informatycznej, z zastrzeżeniem ust. 3.</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może Przetwarzać Dane Osobowe, o których mowa w § 2 Umowy także w postaci papierowej, o ile będzie to uzasadnione wykonaniem Umowy Wdrożeniowej</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oświadcza, iż Infrastruktura Informatyczna Wykonawcy znajduje się na terenie Rzeczypospolitej Polskiej.</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oświadcza, że dysponuje środkami umożliwiającymi prawidłowe Przetwarzanie Danych Osobowych powierzonych przez ADO, w zakresie i celu określonym Umową.</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Wykonawca zobowiązuje się:</w:t>
      </w:r>
    </w:p>
    <w:p>
      <w:pPr>
        <w:pStyle w:val="ListParagraph"/>
        <w:numPr>
          <w:ilvl w:val="0"/>
          <w:numId w:val="48"/>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umożliwić ADO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pPr>
        <w:pStyle w:val="ListParagraph"/>
        <w:numPr>
          <w:ilvl w:val="0"/>
          <w:numId w:val="48"/>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pomagać ADO w wywiązywaniu się z  obowiązków określonych w art. 32-36 RODO. W szczególności Wykonawca zobowiązuje się przekazywać ADO informacje oraz wykonywać jego polecenia dotyczące stosowanych środków zabezpieczenia  Danych Osobowych, przypadków naruszenia ochrony Danych Osobowych oraz zawiadamianiao tym organu nadzorczego lub osób, których dane osobowe dotyczą, przeprowadzenia oceny skutków dla ochrony danych oraz uprzednich konsultacji z organem nadzorczym i wdrożenia zaleceń organu;</w:t>
      </w:r>
    </w:p>
    <w:p>
      <w:pPr>
        <w:pStyle w:val="ListParagraph"/>
        <w:numPr>
          <w:ilvl w:val="0"/>
          <w:numId w:val="48"/>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pomagać ADO, poprzez odpowiednie środki techniczne i organizacyjne, w wywiązywaniu się z obowiązku odpowiadania na żądanie osoby, której dane dotyczą, w zakresie wykonywania jej praw określonych w art. 15-22 RODO;</w:t>
      </w:r>
    </w:p>
    <w:p>
      <w:pPr>
        <w:pStyle w:val="ListParagraph"/>
        <w:numPr>
          <w:ilvl w:val="0"/>
          <w:numId w:val="48"/>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informować niezwłocznie ADO, jeżeli zdaniem Wykonawcy wydane mu polecenie stanowi naruszenie RODO</w:t>
        <w:br/>
        <w:t>lub innych przepisów o ochronie danych;</w:t>
      </w:r>
    </w:p>
    <w:p>
      <w:pPr>
        <w:pStyle w:val="ListParagraph"/>
        <w:numPr>
          <w:ilvl w:val="0"/>
          <w:numId w:val="48"/>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 xml:space="preserve">stosować się do ewentualnych wskazówek lub zaleceń, wydanych przez organ nadzoru lub unijny organ doradczy zajmujący się ochroną Danych Osobowych, po uprzednim poinformowaniu ADO, dotyczących Przetwarzania Danych Osobowych, w szczególności w zakresie stosowania RODO. </w:t>
      </w:r>
    </w:p>
    <w:p>
      <w:pPr>
        <w:pStyle w:val="ListParagraph"/>
        <w:numPr>
          <w:ilvl w:val="0"/>
          <w:numId w:val="58"/>
        </w:numPr>
        <w:spacing w:before="120" w:after="120"/>
        <w:ind w:left="567" w:hanging="567"/>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18"/>
          <w:szCs w:val="18"/>
        </w:rPr>
        <w:t>Wykonawca nie jest zobowiązany do wykonania polecenia ADO dotyczącego stosowanych środków zabezpieczenia Danych Osobowych, w sytuacji gdyby ich zastosowanie mogło spowodować zagrożenie bezpieczeństwu Danych Osobowych.</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6</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Środki techniczne i organizacyjne</w:t>
      </w:r>
    </w:p>
    <w:p>
      <w:pPr>
        <w:pStyle w:val="ListParagraph"/>
        <w:numPr>
          <w:ilvl w:val="0"/>
          <w:numId w:val="59"/>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jest zobowiązany przed rozpoczęciem Przetwarzania Danych Osobowych, zastosować techniczne i organizacyjne środki zapewniające ochronę Danych Osobowych odpowiednią do zagrożeń oraz kategorii Danych Osobowych,</w:t>
        <w:br/>
        <w:t>w szczególności zabezpieczyć Dane Osobowe przed ich udostępnieniem osobom nieupoważnionym, zabraniem przez osobę nieuprawnioną, przetwarzaniem z naruszeniem Ustawy oraz zmianą, utratą, uszkodzeniem lub zniszczeniem.</w:t>
      </w:r>
    </w:p>
    <w:p>
      <w:pPr>
        <w:pStyle w:val="ListParagraph"/>
        <w:numPr>
          <w:ilvl w:val="0"/>
          <w:numId w:val="59"/>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jest zobowiązany wdrożyć i przestrzegać dokumentację w zakresie:</w:t>
      </w:r>
    </w:p>
    <w:p>
      <w:pPr>
        <w:pStyle w:val="ListParagraph"/>
        <w:numPr>
          <w:ilvl w:val="0"/>
          <w:numId w:val="49"/>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polityki bezpieczeństwa;</w:t>
      </w:r>
    </w:p>
    <w:p>
      <w:pPr>
        <w:pStyle w:val="ListParagraph"/>
        <w:numPr>
          <w:ilvl w:val="0"/>
          <w:numId w:val="49"/>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instrukcji zarządzania systemem informatycznym służącym do przetwarzania danych osobowych.</w:t>
      </w:r>
    </w:p>
    <w:p>
      <w:pPr>
        <w:pStyle w:val="ListParagraph"/>
        <w:numPr>
          <w:ilvl w:val="0"/>
          <w:numId w:val="59"/>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zobowiązuje się podejmować wszelkie środki techniczne i organizacyjne, aby zapewnić odpowiedni stopień bezpieczeństwa, w tym środki o których mowa w art. 32 RODO</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7</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xml:space="preserve">Postępowanie z Danymi Osobowymi w razie rozwiązania lub wygaśnięciu Umowy </w:t>
        <w:br/>
        <w:t>oraz ograniczenia zakresu ich przetwarzania</w:t>
      </w:r>
    </w:p>
    <w:p>
      <w:pPr>
        <w:pStyle w:val="ListParagraph"/>
        <w:numPr>
          <w:ilvl w:val="0"/>
          <w:numId w:val="60"/>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Z chwilą rozwiązania lub wygaśnięcia Umowy Wykonawca jest zobowiązany zwrócić Zamawiającemu Dane Osobowe, lub trwale je usunąć, w zależności od decyzji Zamawiającego, nie później niż w terminie 15 dni od dnia przekazania Wykonawcy pisemnej decyzji Zamawiającego. W przypadku, gdy Zamawiający nie przekaże Wykonawcy pisemnej decyzji w terminie 30 dni od dnia rozwiązania lub wygaśnięcia Umowy przyjmuje się, że Wykonawca został zobowiązany przez Zamawiającego do trwałego usunięcia Danych Osobowych w terminie 45 dni od dnia rozwiązania lub wygaśnięcia Umowy. </w:t>
      </w:r>
    </w:p>
    <w:p>
      <w:pPr>
        <w:pStyle w:val="ListParagraph"/>
        <w:numPr>
          <w:ilvl w:val="0"/>
          <w:numId w:val="60"/>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jest zobowiązany trwale usunąć Dane Osobowe, o ile ich zwrot Zamawiającemu nie jest możliwy.</w:t>
      </w:r>
    </w:p>
    <w:p>
      <w:pPr>
        <w:pStyle w:val="ListParagraph"/>
        <w:numPr>
          <w:ilvl w:val="0"/>
          <w:numId w:val="60"/>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Wykonawca jest zobowiązany niezwłocznie przekazać Zamawiającemu protokoły z wykonania czynności, o których mowa w ust. 1 i 2 powyżej. </w:t>
      </w:r>
    </w:p>
    <w:p>
      <w:pPr>
        <w:pStyle w:val="ListParagraph"/>
        <w:numPr>
          <w:ilvl w:val="0"/>
          <w:numId w:val="60"/>
        </w:numPr>
        <w:spacing w:before="120" w:after="120"/>
        <w:ind w:left="567"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może, po rozwiązaniu lub wygaśnięciu Umowy, Przetwarzać Dane Osobowe, o których mowa w § 2 Umowy, jeśli jest do tego uprawniony bądź zobowiązany na podstawie powszechnie obowiązujących przepisów prawa. W takim przypadku, przed wykonaniem czynności przetwarzania, Wykonawca zobowiązany jest poinformować Zamawiającego  na piśmie o tym jakie Dane Osobowe, w jakim zakresie i celu będzie przetwarzał oraz wskazać podstawę prawną Przetwarzania Danych Osobowych.</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8</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Podpowierzenie przetwarzania Danych Osobowych</w:t>
      </w:r>
    </w:p>
    <w:p>
      <w:pPr>
        <w:pStyle w:val="ListParagraph"/>
        <w:numPr>
          <w:ilvl w:val="0"/>
          <w:numId w:val="61"/>
        </w:numPr>
        <w:tabs>
          <w:tab w:val="clear" w:pos="709"/>
        </w:tabs>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Poprzez zawarcie niniejszej Umowy Zamawiający udziela Wykonawcy ogólnej pisemnej zgody na Podpowierzenie Przetwarzania Danych Osobowych.</w:t>
      </w:r>
    </w:p>
    <w:p>
      <w:pPr>
        <w:pStyle w:val="ListParagraph"/>
        <w:numPr>
          <w:ilvl w:val="0"/>
          <w:numId w:val="61"/>
        </w:numPr>
        <w:tabs>
          <w:tab w:val="clear" w:pos="709"/>
        </w:tabs>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pisemnie poinformuje Zamawiającego o zamiarze Podpowierzenia Przetwarzania Danych Osobowych</w:t>
        <w:br/>
        <w:t>oraz o dodaniu lub zastąpieniu Podprocesora, ze wskazaniem celu i zakresu Podpowierzenia Przetwarzania Danych Osobowych oraz danych Podprocesora, dając tym samym Zamawiającemu możliwość wyrażenia sprzeciwu. Nie zgłoszenie sprzeciwu przez Zamawiającego w terminie 7 dni od daty otrzymania pisemnego powiadomienia, o którym mowa powyżej, traktuje się jako udzielenie zgody.</w:t>
      </w:r>
    </w:p>
    <w:p>
      <w:pPr>
        <w:pStyle w:val="ListParagraph"/>
        <w:numPr>
          <w:ilvl w:val="0"/>
          <w:numId w:val="61"/>
        </w:numPr>
        <w:tabs>
          <w:tab w:val="clear" w:pos="709"/>
        </w:tabs>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Umowa Podpowierzenia Przetwarzania Danych Osobowych zawarta pomiędzy Procesorem a Podprocesorem będzie określać w szczególności:</w:t>
      </w:r>
    </w:p>
    <w:p>
      <w:pPr>
        <w:pStyle w:val="ListParagraph"/>
        <w:numPr>
          <w:ilvl w:val="0"/>
          <w:numId w:val="62"/>
        </w:numPr>
        <w:suppressAutoHyphens w:val="true"/>
        <w:spacing w:before="12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zakres i cel Podpowierzenia, przy czym nie mogą one wykraczać poza zakres i cel Podpowierzenia zdefiniowany</w:t>
        <w:br/>
        <w:t>w Umowie Wdrożeniowej,</w:t>
      </w:r>
    </w:p>
    <w:p>
      <w:pPr>
        <w:pStyle w:val="ListParagraph"/>
        <w:numPr>
          <w:ilvl w:val="0"/>
          <w:numId w:val="62"/>
        </w:numPr>
        <w:suppressAutoHyphens w:val="true"/>
        <w:spacing w:before="12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zasady przeprowadzania kontroli realizacji umowy Podpowierzenia Przetwarzania Danych Osobowych przez Zamawiającego bądź inny podmiot działający w imieniu lub na rzecz Zamawiającego lub Procesora, w zakresie spełnienia wymogów wynikających z Ustawy, RODO i Umowy;</w:t>
      </w:r>
    </w:p>
    <w:p>
      <w:pPr>
        <w:pStyle w:val="ListParagraph"/>
        <w:numPr>
          <w:ilvl w:val="0"/>
          <w:numId w:val="62"/>
        </w:numPr>
        <w:suppressAutoHyphens w:val="true"/>
        <w:spacing w:before="12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zasady informowania i postępowania na wypadek wystąpienia sytuacji mogących skutkować lub skutkujących utratą, nieuprawnionym dostępem lub modyfikacją Podpowierzonych Danych Osobowych;</w:t>
      </w:r>
    </w:p>
    <w:p>
      <w:pPr>
        <w:pStyle w:val="ListParagraph"/>
        <w:numPr>
          <w:ilvl w:val="0"/>
          <w:numId w:val="62"/>
        </w:numPr>
        <w:suppressAutoHyphens w:val="true"/>
        <w:spacing w:before="12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obowiązek niezwłocznego informowania Zamawiającego oraz Procesora o kontroli, postępowaniu, w szczególności administracyjnym lub sądowym, dotyczącym Przetwarzania Danych Osobowych określonych Umową;</w:t>
      </w:r>
    </w:p>
    <w:p>
      <w:pPr>
        <w:pStyle w:val="ListParagraph"/>
        <w:numPr>
          <w:ilvl w:val="0"/>
          <w:numId w:val="62"/>
        </w:numPr>
        <w:suppressAutoHyphens w:val="true"/>
        <w:spacing w:before="12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zasady postępowanie z Danymi Osobowymi w razie rozwiązania lub wygaśnięciu Umowy oraz ograniczenia zakresu ich przetwarzania;</w:t>
      </w:r>
    </w:p>
    <w:p>
      <w:pPr>
        <w:pStyle w:val="ListParagraph"/>
        <w:numPr>
          <w:ilvl w:val="0"/>
          <w:numId w:val="50"/>
        </w:numPr>
        <w:tabs>
          <w:tab w:val="clear" w:pos="709"/>
        </w:tabs>
        <w:suppressAutoHyphens w:val="true"/>
        <w:spacing w:before="120" w:after="120"/>
        <w:ind w:left="1560" w:hanging="35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zasady Dalszego Powierzenia Przetwarzania Danych Osobowych;</w:t>
      </w:r>
    </w:p>
    <w:p>
      <w:pPr>
        <w:pStyle w:val="ListParagraph"/>
        <w:numPr>
          <w:ilvl w:val="0"/>
          <w:numId w:val="50"/>
        </w:numPr>
        <w:tabs>
          <w:tab w:val="clear" w:pos="709"/>
        </w:tabs>
        <w:suppressAutoHyphens w:val="true"/>
        <w:spacing w:before="120" w:after="120"/>
        <w:ind w:left="1560" w:hanging="35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zasady udostępniania Danych Osobowych,</w:t>
      </w:r>
    </w:p>
    <w:p>
      <w:pPr>
        <w:pStyle w:val="ListParagraph"/>
        <w:numPr>
          <w:ilvl w:val="0"/>
          <w:numId w:val="50"/>
        </w:numPr>
        <w:tabs>
          <w:tab w:val="clear" w:pos="709"/>
        </w:tabs>
        <w:suppressAutoHyphens w:val="true"/>
        <w:spacing w:before="120" w:after="120"/>
        <w:ind w:left="1560" w:hanging="357"/>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inne informacje mające lub mogące mieć wpływ na bezpieczeństwo Danych Osobowych.</w:t>
      </w:r>
    </w:p>
    <w:p>
      <w:pPr>
        <w:pStyle w:val="ListParagraph"/>
        <w:spacing w:before="120" w:after="120"/>
        <w:ind w:left="0"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 działania i zaniechania Podprocesora, Wykonawca odpowiada jak za działania i zaniechania własne, z zastrzeżeniem obowiązujących przepisów prawa.</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9</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Prawo kontroli</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Zamawiającemu przysługuje prawo kontroli, czy środki zastosowane przez Wykonawcę i jego podwykonawców przy przetwarzaniu i zabezpieczaniu Danych Osobowych powierzonych do Przetwarzania spełniają wymagania dotyczące ochrony Danych Osobowych, wynikające z bezwzględnie obowiązujących przepisów prawa, w tym przepisów Ustawy i RODO.</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 ramach wykonania przez Zamawiającego prawa kontroli, o którym mowa w ust.1:</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zobowiązuje się, w sposób szczególny, do ścisłej współpracy w zakresie kontroli i udzielania Zamawiającemu wszelkich informacji dotyczących sposobu przetwarzania i zabezpieczenia Danych Osobowych;</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Zamawiający będzie korzystał z tego prawa w dni robocze, w godzinach pracy Wykonawcy;</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Kontrola może zostać wykonana w formie:</w:t>
      </w:r>
    </w:p>
    <w:p>
      <w:pPr>
        <w:pStyle w:val="ListParagraph"/>
        <w:numPr>
          <w:ilvl w:val="0"/>
          <w:numId w:val="51"/>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wizji lokalnej miejsca Przetwarzania Danych Osobowych – w tym przypadku Strony uzgodnią termin kontroli jednak nie później niż 10 dni roboczych od powiadomienia Wykonawcy przez Zamawiającego o zamiarze przeprowadzenia kontroli. Wizja lokalna na terenie siedziby Wykonawcy odbywać się będzie zgodnie z regulaminami wewnętrznymi obowiązującymi u Wykonawcy;</w:t>
      </w:r>
    </w:p>
    <w:p>
      <w:pPr>
        <w:pStyle w:val="ListParagraph"/>
        <w:numPr>
          <w:ilvl w:val="0"/>
          <w:numId w:val="51"/>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pisemnego żądania przedstawienia określonych informacji dotyczących Przetwarzania i zabezpieczenia Danych Osobowych;</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zobowiązany jest do udzielenia pisemnej odpowiedzi, na żądanie Zamawiającego, w terminie do 10 dni od daty jego otrzymania, a w szczególności do:</w:t>
      </w:r>
    </w:p>
    <w:p>
      <w:pPr>
        <w:pStyle w:val="ListParagraph"/>
        <w:numPr>
          <w:ilvl w:val="0"/>
          <w:numId w:val="52"/>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wyjaśniania okoliczności incydentów bezpieczeństwa;</w:t>
      </w:r>
    </w:p>
    <w:p>
      <w:pPr>
        <w:pStyle w:val="ListParagraph"/>
        <w:numPr>
          <w:ilvl w:val="0"/>
          <w:numId w:val="52"/>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udzielenia odpowiedzi organom uprawnionym z mocy prawa do żądania informacji.</w:t>
      </w:r>
    </w:p>
    <w:p>
      <w:pPr>
        <w:pStyle w:val="ListParagraph"/>
        <w:numPr>
          <w:ilvl w:val="0"/>
          <w:numId w:val="63"/>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Zamawiający może przekazać Wykonawcy w formie pisemnej istotne zalecenia pokontrolne Zamawiającego, a Wykonawca zobowiązuje się je zrealizować, o ile ich realizacja nie będzie niezgodna z bezwzględnie obowiązującymi przepisami prawa, w tym przepisami Ustawy oraz RODO.</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10</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Upoważnienie do przetwarzania danych osobowych</w:t>
      </w:r>
    </w:p>
    <w:p>
      <w:pPr>
        <w:pStyle w:val="ListParagraph"/>
        <w:numPr>
          <w:ilvl w:val="0"/>
          <w:numId w:val="64"/>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Zamawiający upoważnia Wykonawcę do nadawania upoważnień do Przetwarzania Danych Osobowych wyłącznie osobom o odpowiednich kwalifikacjach i odpowiednio przeszkolonych do prawidłowego wykonania Umowy oraz jednocześnie osobom, które zapewnią zachowanie poufności Powierzonych Danych Osobowych oraz sposobów ich zabezpieczania.</w:t>
      </w:r>
    </w:p>
    <w:p>
      <w:pPr>
        <w:pStyle w:val="ListParagraph"/>
        <w:numPr>
          <w:ilvl w:val="0"/>
          <w:numId w:val="64"/>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Wykonawca we własnym zakresie prowadzi wykaz upoważnionych osób. Wykonawca jest zobowiązany, na żądanie Zamawiającego, w terminie 14 dni od daty jego otrzymania, przekazać informacje o osobach, które dopuścił o Przetwarzania Danych Osobowych, wskazując imię, nazwisko oraz adres e-mail osoby upoważnionej. </w:t>
      </w:r>
    </w:p>
    <w:p>
      <w:pPr>
        <w:pStyle w:val="ListParagraph"/>
        <w:numPr>
          <w:ilvl w:val="0"/>
          <w:numId w:val="64"/>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zobowiązuje się jednocześnie do przekazania Zamawiającemu informacji o osobach, które dopuścił do Przetwarzania Danych Osobowych w terminie 14 dni po podpisaniu Umowy Wdrożeniowej.</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11</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Odpowiedzialność</w:t>
      </w:r>
    </w:p>
    <w:p>
      <w:pPr>
        <w:pStyle w:val="ListParagraph"/>
        <w:numPr>
          <w:ilvl w:val="0"/>
          <w:numId w:val="65"/>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 tytułu Przetwarzania Danych Osobowych w ramach Umowy ponosi odpowiedzialność zgodnie z bezwzględnie obowiązującymi przepisami, w tym Ustawy oraz RODO. W pozostałych przypadkach, odpowiedzialność odszkodowawcza Wykonawcy ograniczona jest do szkód rzeczywistych i kwoty łącznego wynagrodzenia Wykonawcy określonego w Umowie Wdrożeniowej.</w:t>
      </w:r>
    </w:p>
    <w:p>
      <w:pPr>
        <w:pStyle w:val="ListParagraph"/>
        <w:numPr>
          <w:ilvl w:val="0"/>
          <w:numId w:val="65"/>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zobowiązuje się do niezwłocznego informowania Zamawiającego:</w:t>
      </w:r>
    </w:p>
    <w:p>
      <w:pPr>
        <w:pStyle w:val="ListParagraph"/>
        <w:numPr>
          <w:ilvl w:val="0"/>
          <w:numId w:val="53"/>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o kontrolach, jakimkolwiek postępowaniu, w szczególności administracyjnym lub sądowym, dotyczącym przetwarzania przez Wykonawcę Danych Osobowych na podstawie Umowy;</w:t>
      </w:r>
    </w:p>
    <w:p>
      <w:pPr>
        <w:pStyle w:val="ListParagraph"/>
        <w:numPr>
          <w:ilvl w:val="0"/>
          <w:numId w:val="53"/>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o jakiejkolwiek decyzji administracyjnej lub orzeczeniu dotyczącym Przetwarzania Danych Osobowych, o których mowa powyżej, skierowanych do Wykonawcy, </w:t>
      </w:r>
    </w:p>
    <w:p>
      <w:pPr>
        <w:pStyle w:val="ListParagraph"/>
        <w:numPr>
          <w:ilvl w:val="0"/>
          <w:numId w:val="53"/>
        </w:numPr>
        <w:tabs>
          <w:tab w:val="clear" w:pos="709"/>
        </w:tabs>
        <w:suppressAutoHyphens w:val="true"/>
        <w:spacing w:before="120" w:after="120"/>
        <w:ind w:left="1134"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o wszelkich planowanych, o ile Wykonawcy są wiadome, lub realizowanych kontrolach dotyczących przetwarzania</w:t>
        <w:br/>
        <w:t>u Wykonawcy Danych Osobowych, o których mowa powyżej, w szczególności prowadzonych przez Prezesa Urzędu Ochrony Danych Osobowych.</w:t>
      </w:r>
    </w:p>
    <w:p>
      <w:pPr>
        <w:pStyle w:val="ListParagraph"/>
        <w:numPr>
          <w:ilvl w:val="0"/>
          <w:numId w:val="65"/>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 przypadku, gdy Zamawiający zamierza uczestniczyć w postępowaniach i kontrolach, o których mowa w ust. 2, Wykonawca zobowiązany jest umożliwić Zamawiającemu lub upoważnionej przez Zamawiającego osobie uczestnictwo w takich czynnościach.</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12</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Obowiązywanie Umowy</w:t>
      </w:r>
    </w:p>
    <w:p>
      <w:pPr>
        <w:pStyle w:val="ListParagraph"/>
        <w:numPr>
          <w:ilvl w:val="0"/>
          <w:numId w:val="66"/>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Umowa zostaje zawarta na czas obowiązywania Umowy Wdrożeniowej.</w:t>
      </w:r>
    </w:p>
    <w:p>
      <w:pPr>
        <w:pStyle w:val="ListParagraph"/>
        <w:numPr>
          <w:ilvl w:val="0"/>
          <w:numId w:val="66"/>
        </w:numPr>
        <w:spacing w:before="120" w:after="120"/>
        <w:ind w:left="425" w:hanging="425"/>
        <w:contextualSpacing/>
        <w:jc w:val="both"/>
        <w:rPr>
          <w:rFonts w:ascii="Calibri" w:hAnsi="Calibri" w:cs="Calibri" w:asciiTheme="minorHAnsi" w:cstheme="minorHAnsi" w:hAnsiTheme="minorHAnsi"/>
          <w:kern w:val="2"/>
          <w:sz w:val="18"/>
          <w:szCs w:val="18"/>
        </w:rPr>
      </w:pPr>
      <w:r>
        <w:rPr>
          <w:rFonts w:cs="Calibri" w:ascii="Calibri" w:hAnsi="Calibri" w:asciiTheme="minorHAnsi" w:cstheme="minorHAnsi" w:hAnsiTheme="minorHAnsi"/>
          <w:kern w:val="2"/>
          <w:sz w:val="18"/>
          <w:szCs w:val="18"/>
        </w:rPr>
        <w:t>Umowa obowiązuje w zakresie dotyczącym Danych Osobowych powierzonych do Przetwarzania w celu wykonania Umowy Wdrożeniowej.</w:t>
      </w:r>
    </w:p>
    <w:p>
      <w:pPr>
        <w:pStyle w:val="ListParagraph"/>
        <w:numPr>
          <w:ilvl w:val="0"/>
          <w:numId w:val="66"/>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Rozwiązanie Umowy Wdrożeniowej w jakimkolwiek trybie stanowi jednocześnie rozwiązanie Umowy w takim samym trybie i w takim samym czasie.</w:t>
      </w:r>
    </w:p>
    <w:p>
      <w:pPr>
        <w:pStyle w:val="ListParagraph"/>
        <w:numPr>
          <w:ilvl w:val="0"/>
          <w:numId w:val="66"/>
        </w:numPr>
        <w:ind w:left="425" w:hanging="425"/>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Umowa może zostać rozwiązana w trybie natychmiastowym przez Zamawiającego wyłącznie w przypadku:</w:t>
      </w:r>
    </w:p>
    <w:p>
      <w:pPr>
        <w:pStyle w:val="Normal"/>
        <w:numPr>
          <w:ilvl w:val="0"/>
          <w:numId w:val="54"/>
        </w:numPr>
        <w:tabs>
          <w:tab w:val="clear" w:pos="709"/>
        </w:tabs>
        <w:suppressAutoHyphens w:val="true"/>
        <w:ind w:left="993" w:hanging="426"/>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rażącego naruszenia przez Wykonawcę postanowień Umowy;</w:t>
      </w:r>
    </w:p>
    <w:p>
      <w:pPr>
        <w:pStyle w:val="Normal"/>
        <w:numPr>
          <w:ilvl w:val="0"/>
          <w:numId w:val="54"/>
        </w:numPr>
        <w:tabs>
          <w:tab w:val="clear" w:pos="709"/>
        </w:tabs>
        <w:suppressAutoHyphens w:val="true"/>
        <w:ind w:left="993" w:hanging="426"/>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niewykonania lub nienależytego wykonania przez Wykonawcę zobowiązań określonych w Umowie lub w Ustawie, pomimo pisemnego wezwania i wyznaczenia przez Zamawiającego dodatkowego terminu na ich wykonanie</w:t>
        <w:br/>
        <w:t>nie krótszego niż 14 dni;</w:t>
      </w:r>
    </w:p>
    <w:p>
      <w:pPr>
        <w:pStyle w:val="Normal"/>
        <w:numPr>
          <w:ilvl w:val="0"/>
          <w:numId w:val="54"/>
        </w:numPr>
        <w:tabs>
          <w:tab w:val="clear" w:pos="709"/>
        </w:tabs>
        <w:suppressAutoHyphens w:val="true"/>
        <w:ind w:left="993" w:hanging="426"/>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niezastosowania się do decyzji Prezesa Urzędu Ochrony Danych Osobowych dotyczącej jakichkolwiek nieprawidłowości przy przetwarzaniu Powierzonych Danych Osobowych.</w:t>
      </w:r>
    </w:p>
    <w:p>
      <w:pPr>
        <w:pStyle w:val="Normal"/>
        <w:tabs>
          <w:tab w:val="clear" w:pos="709"/>
          <w:tab w:val="left" w:pos="0" w:leader="none"/>
        </w:tabs>
        <w:spacing w:before="120" w:after="120"/>
        <w:jc w:val="center"/>
        <w:rPr>
          <w:rFonts w:ascii="Calibri" w:hAnsi="Calibri" w:cs="Calibri" w:asciiTheme="minorHAnsi" w:cstheme="minorHAnsi" w:hAnsiTheme="minorHAnsi"/>
          <w:b/>
          <w:kern w:val="2"/>
          <w:sz w:val="18"/>
          <w:szCs w:val="18"/>
        </w:rPr>
      </w:pPr>
      <w:r>
        <w:rPr>
          <w:rFonts w:cs="Calibri" w:cstheme="minorHAnsi" w:ascii="Calibri" w:hAnsi="Calibri"/>
          <w:b/>
          <w:kern w:val="2"/>
          <w:sz w:val="18"/>
          <w:szCs w:val="18"/>
        </w:rPr>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13</w:t>
      </w:r>
    </w:p>
    <w:p>
      <w:pPr>
        <w:pStyle w:val="ParagrafTytu"/>
        <w:tabs>
          <w:tab w:val="clear" w:pos="709"/>
          <w:tab w:val="left" w:pos="0" w:leader="none"/>
        </w:tabs>
        <w:spacing w:before="120" w:after="120"/>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Współpraca Stron</w:t>
      </w:r>
    </w:p>
    <w:p>
      <w:pPr>
        <w:pStyle w:val="ListParagraph"/>
        <w:numPr>
          <w:ilvl w:val="0"/>
          <w:numId w:val="67"/>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Strony są zobowiązane do współpracy w zakresie wykonywania Umowy ze szczególnym uwzględnieniem wymogów wskazanych w art. 28 ust.3 lit. b, e i f oraz art. 31 RODO.</w:t>
      </w:r>
    </w:p>
    <w:p>
      <w:pPr>
        <w:pStyle w:val="ListParagraph"/>
        <w:numPr>
          <w:ilvl w:val="0"/>
          <w:numId w:val="67"/>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Strony w formie pisemnej bądź w formie ustnej, bądź za pośrednictwem poczty elektronicznej, będą dokonywały uzgodnień i podejmowały decyzje operacyjne poprzez swoich przedstawicieli odpowiedzialnych za realizację Umowy:</w:t>
      </w:r>
    </w:p>
    <w:p>
      <w:pPr>
        <w:pStyle w:val="ListParagraph"/>
        <w:spacing w:before="120" w:after="120"/>
        <w:ind w:left="567" w:hanging="0"/>
        <w:contextualSpacing/>
        <w:jc w:val="both"/>
        <w:rPr>
          <w:rFonts w:ascii="Calibri" w:hAnsi="Calibri" w:cs="Calibri" w:asciiTheme="minorHAnsi" w:cstheme="minorHAnsi" w:hAnsiTheme="minorHAnsi"/>
          <w:u w:val="single"/>
        </w:rPr>
      </w:pPr>
      <w:r>
        <w:rPr>
          <w:rFonts w:cs="Calibri" w:ascii="Calibri" w:hAnsi="Calibri" w:asciiTheme="minorHAnsi" w:cstheme="minorHAnsi" w:hAnsiTheme="minorHAnsi"/>
          <w:kern w:val="2"/>
          <w:sz w:val="18"/>
          <w:szCs w:val="18"/>
          <w:u w:val="single"/>
        </w:rPr>
        <w:t>Przedstawiciel Zamawiającego:</w:t>
      </w:r>
    </w:p>
    <w:p>
      <w:pPr>
        <w:pStyle w:val="ListParagraph"/>
        <w:spacing w:before="120" w:after="120"/>
        <w:ind w:left="567"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Telefon:</w:t>
      </w:r>
    </w:p>
    <w:p>
      <w:pPr>
        <w:pStyle w:val="ListParagraph"/>
        <w:spacing w:before="120" w:after="120"/>
        <w:ind w:left="567"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Tel. komórkowy:</w:t>
        <w:tab/>
      </w:r>
    </w:p>
    <w:p>
      <w:pPr>
        <w:pStyle w:val="ListParagraph"/>
        <w:spacing w:before="120" w:after="120"/>
        <w:ind w:left="567"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E-mail:</w:t>
        <w:tab/>
      </w:r>
    </w:p>
    <w:p>
      <w:pPr>
        <w:pStyle w:val="ListParagraph"/>
        <w:spacing w:before="120" w:after="120"/>
        <w:ind w:left="567" w:hanging="0"/>
        <w:contextualSpacing/>
        <w:jc w:val="both"/>
        <w:rPr>
          <w:rFonts w:ascii="Calibri" w:hAnsi="Calibri" w:cs="Calibri" w:asciiTheme="minorHAnsi" w:cstheme="minorHAnsi" w:hAnsiTheme="minorHAnsi"/>
          <w:u w:val="single"/>
        </w:rPr>
      </w:pPr>
      <w:r>
        <w:rPr>
          <w:rFonts w:cs="Calibri" w:ascii="Calibri" w:hAnsi="Calibri" w:asciiTheme="minorHAnsi" w:cstheme="minorHAnsi" w:hAnsiTheme="minorHAnsi"/>
          <w:kern w:val="2"/>
          <w:sz w:val="18"/>
          <w:szCs w:val="18"/>
          <w:u w:val="single"/>
        </w:rPr>
        <w:t>Przedstawiciel Wykonawcy:</w:t>
      </w:r>
      <w:r>
        <w:rPr>
          <w:rFonts w:cs="Calibri" w:ascii="Calibri" w:hAnsi="Calibri" w:asciiTheme="minorHAnsi" w:cstheme="minorHAnsi" w:hAnsiTheme="minorHAnsi"/>
          <w:kern w:val="2"/>
          <w:sz w:val="18"/>
          <w:szCs w:val="18"/>
        </w:rPr>
        <w:t xml:space="preserve"> </w:t>
      </w:r>
    </w:p>
    <w:p>
      <w:pPr>
        <w:pStyle w:val="ListParagraph"/>
        <w:spacing w:before="120" w:after="120"/>
        <w:ind w:left="567"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Telefon: </w:t>
      </w:r>
    </w:p>
    <w:p>
      <w:pPr>
        <w:pStyle w:val="ListParagraph"/>
        <w:spacing w:before="120" w:after="120"/>
        <w:ind w:left="567" w:hanging="0"/>
        <w:contextualSpacing/>
        <w:jc w:val="both"/>
        <w:rPr>
          <w:rFonts w:ascii="Calibri" w:hAnsi="Calibri" w:cs="Calibri" w:asciiTheme="minorHAnsi" w:cstheme="minorHAnsi" w:hAnsiTheme="minorHAnsi"/>
          <w:lang w:val="de-DE"/>
        </w:rPr>
      </w:pPr>
      <w:r>
        <w:rPr>
          <w:rFonts w:cs="Calibri" w:ascii="Calibri" w:hAnsi="Calibri" w:asciiTheme="minorHAnsi" w:cstheme="minorHAnsi" w:hAnsiTheme="minorHAnsi"/>
          <w:kern w:val="2"/>
          <w:sz w:val="18"/>
          <w:szCs w:val="18"/>
          <w:lang w:val="de-DE"/>
        </w:rPr>
        <w:t>Tel. komórkowy:</w:t>
        <w:tab/>
      </w:r>
    </w:p>
    <w:p>
      <w:pPr>
        <w:pStyle w:val="ListParagraph"/>
        <w:spacing w:before="120" w:after="120"/>
        <w:ind w:left="567" w:hanging="0"/>
        <w:contextualSpacing/>
        <w:jc w:val="both"/>
        <w:rPr>
          <w:rFonts w:ascii="Calibri" w:hAnsi="Calibri" w:cs="Calibri" w:asciiTheme="minorHAnsi" w:cstheme="minorHAnsi" w:hAnsiTheme="minorHAnsi"/>
          <w:lang w:val="de-DE"/>
        </w:rPr>
      </w:pPr>
      <w:r>
        <w:rPr>
          <w:rFonts w:cs="Calibri" w:ascii="Calibri" w:hAnsi="Calibri" w:asciiTheme="minorHAnsi" w:cstheme="minorHAnsi" w:hAnsiTheme="minorHAnsi"/>
          <w:kern w:val="2"/>
          <w:sz w:val="18"/>
          <w:szCs w:val="18"/>
          <w:lang w:val="de-DE"/>
        </w:rPr>
        <w:t>E-mail:</w:t>
        <w:tab/>
      </w:r>
    </w:p>
    <w:p>
      <w:pPr>
        <w:pStyle w:val="ListParagraph"/>
        <w:numPr>
          <w:ilvl w:val="0"/>
          <w:numId w:val="67"/>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Zmiana przedstawiciela Strony, numeru telefonu lub adresu e-mail nie stanowi zmiany Umowy i jest skuteczna z chwilą powiadomienia drugiej Strony o dokonanej zmianie w formie pisemnej lub za pomocą poczty elektronicznej. </w:t>
      </w:r>
    </w:p>
    <w:p>
      <w:pPr>
        <w:pStyle w:val="ListParagraph"/>
        <w:numPr>
          <w:ilvl w:val="0"/>
          <w:numId w:val="67"/>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Uzgodnienia i decyzje przedstawicieli Stron, o których mowa w ust. 2, będą wiążące dla Stron, z zastrzeżeniem,</w:t>
        <w:br/>
        <w:t>iż przedstawiciele Stron nie są uprawnieni do zaciągania zobowiązań w imieniu Stron.</w:t>
      </w:r>
    </w:p>
    <w:p>
      <w:pPr>
        <w:pStyle w:val="Normal"/>
        <w:tabs>
          <w:tab w:val="clear" w:pos="709"/>
          <w:tab w:val="left" w:pos="0" w:leader="none"/>
        </w:tabs>
        <w:spacing w:before="120" w:after="120"/>
        <w:jc w:val="center"/>
        <w:rPr>
          <w:rFonts w:ascii="Calibri" w:hAnsi="Calibri" w:cs="Calibri" w:asciiTheme="minorHAnsi" w:cstheme="minorHAnsi" w:hAnsiTheme="minorHAnsi"/>
          <w:b/>
          <w:kern w:val="2"/>
          <w:sz w:val="18"/>
          <w:szCs w:val="18"/>
        </w:rPr>
      </w:pPr>
      <w:r>
        <w:rPr>
          <w:rFonts w:cs="Calibri" w:cstheme="minorHAnsi" w:ascii="Calibri" w:hAnsi="Calibri"/>
          <w:b/>
          <w:kern w:val="2"/>
          <w:sz w:val="18"/>
          <w:szCs w:val="18"/>
        </w:rPr>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14</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Zobowiązanie do zachowania poufności danych osobowych</w:t>
      </w:r>
    </w:p>
    <w:p>
      <w:pPr>
        <w:pStyle w:val="ListParagraph"/>
        <w:numPr>
          <w:ilvl w:val="0"/>
          <w:numId w:val="68"/>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Wykonawca odebrał od ww. osób stosowne oświadczenia.</w:t>
      </w:r>
    </w:p>
    <w:p>
      <w:pPr>
        <w:pStyle w:val="ListParagraph"/>
        <w:numPr>
          <w:ilvl w:val="0"/>
          <w:numId w:val="68"/>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Przetwarzający zobowiązuje się zachować w tajemnicy wszelkie informacje związane z powierzeniem danych osobowych, przez okres realizacji Umowy Wdrożeniowej, jak również bezterminowo po ustaniu okresu jej obowiązywania.</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15</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Zasada pierwszeństwa</w:t>
      </w:r>
    </w:p>
    <w:p>
      <w:pPr>
        <w:pStyle w:val="Normal"/>
        <w:tabs>
          <w:tab w:val="clear" w:pos="709"/>
          <w:tab w:val="left" w:pos="0" w:leader="none"/>
        </w:tabs>
        <w:spacing w:before="120" w:after="120"/>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 przypadku sprzeczności pomiędzy postanowieniami Umowy Wdrożeniowej oraz Umowy pierwszeństwo zastosowania mają postanowienia Umowy Wdrożeniowej, o ile nie naruszają powszechnie obowiązujących przepisów prawa, w tym przepisów Ustawy i RODO.</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 16</w:t>
      </w:r>
    </w:p>
    <w:p>
      <w:pPr>
        <w:pStyle w:val="Normal"/>
        <w:tabs>
          <w:tab w:val="clear" w:pos="709"/>
          <w:tab w:val="left" w:pos="0" w:leader="none"/>
        </w:tabs>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kern w:val="2"/>
          <w:sz w:val="18"/>
          <w:szCs w:val="18"/>
        </w:rPr>
        <w:t>Postanowienia końcowe</w:t>
      </w:r>
    </w:p>
    <w:p>
      <w:pPr>
        <w:pStyle w:val="ListParagraph"/>
        <w:numPr>
          <w:ilvl w:val="0"/>
          <w:numId w:val="69"/>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Wszelkie zmiany lub uzupełnienia Umowy wymagają zachowania formy pisemnej pod rygorem nieważności,</w:t>
        <w:br/>
        <w:t>chyba że Umowa stanowi inaczej.</w:t>
      </w:r>
    </w:p>
    <w:p>
      <w:pPr>
        <w:pStyle w:val="ListParagraph"/>
        <w:numPr>
          <w:ilvl w:val="0"/>
          <w:numId w:val="69"/>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 sprawach nieuregulowanych Umową mają zastosowanie powszechnie obowiązujące przepisy prawa, w szczególności przepisy Ustawy, RODO oraz Kodeksu cywilnego.</w:t>
      </w:r>
    </w:p>
    <w:p>
      <w:pPr>
        <w:pStyle w:val="ListParagraph"/>
        <w:numPr>
          <w:ilvl w:val="0"/>
          <w:numId w:val="69"/>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W razie powstania między Stronami sporu dotyczącego Umowy, Strony dołożą starań w celu rozwiązania go</w:t>
        <w:br/>
        <w:t>w sposób polubowny. W przypadku braku rozwiązania sporu w sposób polubowny, spór będzie rozstrzygany</w:t>
        <w:br/>
        <w:t>przez sąd powszechny miejscowo właściwy dla Strony będącej powodem w postępowaniu sądowym.</w:t>
      </w:r>
    </w:p>
    <w:p>
      <w:pPr>
        <w:pStyle w:val="ListParagraph"/>
        <w:numPr>
          <w:ilvl w:val="0"/>
          <w:numId w:val="69"/>
        </w:numPr>
        <w:spacing w:before="120" w:after="120"/>
        <w:ind w:left="425" w:hanging="425"/>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Umowę sporządzono w dwóch jednobrzmiących egzemplarzach, po jednym egzemplarzu dla każdej ze Stron.</w:t>
      </w:r>
    </w:p>
    <w:p>
      <w:pPr>
        <w:pStyle w:val="ListParagraph"/>
        <w:numPr>
          <w:ilvl w:val="0"/>
          <w:numId w:val="69"/>
        </w:numPr>
        <w:spacing w:before="12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Integralną część Umowy stanowią następujące załączniki:</w:t>
      </w:r>
    </w:p>
    <w:p>
      <w:pPr>
        <w:pStyle w:val="ListParagraph"/>
        <w:tabs>
          <w:tab w:val="clear" w:pos="709"/>
          <w:tab w:val="left" w:pos="0" w:leader="none"/>
        </w:tabs>
        <w:spacing w:before="120" w:after="120"/>
        <w:ind w:left="426"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kern w:val="2"/>
          <w:sz w:val="18"/>
          <w:szCs w:val="18"/>
        </w:rPr>
        <w:t xml:space="preserve">Załącznik nr 8 do Umowy Wdrożeniowej - Zbiór Danych Osobowych </w:t>
      </w:r>
    </w:p>
    <w:p>
      <w:pPr>
        <w:pStyle w:val="Normal"/>
        <w:tabs>
          <w:tab w:val="clear" w:pos="709"/>
          <w:tab w:val="left" w:pos="0" w:leader="none"/>
        </w:tabs>
        <w:spacing w:before="120" w:after="120"/>
        <w:jc w:val="center"/>
        <w:rPr>
          <w:rFonts w:ascii="Calibri" w:hAnsi="Calibri" w:cs="Calibri" w:asciiTheme="minorHAnsi" w:cstheme="minorHAnsi" w:hAnsiTheme="minorHAnsi"/>
          <w:b/>
          <w:kern w:val="2"/>
          <w:sz w:val="18"/>
          <w:szCs w:val="18"/>
        </w:rPr>
      </w:pPr>
      <w:r>
        <w:rPr>
          <w:rFonts w:cs="Calibri" w:cstheme="minorHAnsi" w:ascii="Calibri" w:hAnsi="Calibri"/>
          <w:b/>
          <w:kern w:val="2"/>
          <w:sz w:val="18"/>
          <w:szCs w:val="18"/>
        </w:rPr>
      </w:r>
    </w:p>
    <w:p>
      <w:pPr>
        <w:pStyle w:val="Normal"/>
        <w:tabs>
          <w:tab w:val="clear" w:pos="709"/>
          <w:tab w:val="left" w:pos="0" w:leader="none"/>
        </w:tabs>
        <w:spacing w:before="120" w:after="120"/>
        <w:jc w:val="center"/>
        <w:rPr>
          <w:rFonts w:ascii="Calibri" w:hAnsi="Calibri" w:cs="Calibri" w:asciiTheme="minorHAnsi" w:cstheme="minorHAnsi" w:hAnsiTheme="minorHAnsi"/>
          <w:b/>
          <w:kern w:val="2"/>
          <w:sz w:val="18"/>
          <w:szCs w:val="18"/>
        </w:rPr>
      </w:pPr>
      <w:r>
        <w:rPr>
          <w:rFonts w:cs="Calibri" w:cstheme="minorHAnsi" w:ascii="Calibri" w:hAnsi="Calibri"/>
          <w:b/>
          <w:kern w:val="2"/>
          <w:sz w:val="18"/>
          <w:szCs w:val="18"/>
        </w:rPr>
      </w:r>
    </w:p>
    <w:p>
      <w:pPr>
        <w:pStyle w:val="Normal"/>
        <w:spacing w:before="0" w:after="200"/>
        <w:jc w:val="center"/>
        <w:rPr>
          <w:rFonts w:ascii="Calibri" w:hAnsi="Calibri" w:cs="Calibri" w:asciiTheme="minorHAnsi" w:cstheme="minorHAnsi" w:hAnsiTheme="minorHAnsi"/>
          <w:sz w:val="18"/>
          <w:szCs w:val="18"/>
        </w:rPr>
      </w:pPr>
      <w:r>
        <w:rPr>
          <w:rFonts w:cs="Calibri" w:ascii="Calibri" w:hAnsi="Calibri" w:asciiTheme="minorHAnsi" w:cstheme="minorHAnsi" w:hAnsiTheme="minorHAnsi"/>
          <w:b/>
          <w:color w:val="000000"/>
          <w:sz w:val="18"/>
          <w:szCs w:val="18"/>
        </w:rPr>
        <w:t>WYKONAWCA</w:t>
        <w:tab/>
        <w:tab/>
        <w:tab/>
        <w:tab/>
        <w:tab/>
        <w:tab/>
        <w:tab/>
        <w:tab/>
        <w:t>ZAMAWIAJĄCY</w:t>
      </w:r>
      <w:r>
        <w:rPr>
          <w:rFonts w:cs="Calibri" w:ascii="Calibri" w:hAnsi="Calibri" w:asciiTheme="minorHAnsi" w:cstheme="minorHAnsi" w:hAnsiTheme="minorHAnsi"/>
          <w:sz w:val="18"/>
          <w:szCs w:val="18"/>
        </w:rPr>
        <w:t xml:space="preserve"> </w:t>
      </w:r>
    </w:p>
    <w:p>
      <w:pPr>
        <w:pStyle w:val="Normal"/>
        <w:spacing w:before="0" w:after="200"/>
        <w:jc w:val="center"/>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rPr>
          <w:rFonts w:ascii="Calibri" w:hAnsi="Calibri" w:cs="Calibri" w:asciiTheme="minorHAnsi" w:cstheme="minorHAnsi" w:hAnsiTheme="minorHAnsi"/>
        </w:rPr>
      </w:pPr>
      <w:r>
        <w:rPr>
          <w:rFonts w:cs="Calibri" w:cstheme="minorHAnsi" w:ascii="Calibri" w:hAnsi="Calibri"/>
        </w:rPr>
      </w:r>
      <w:r>
        <w:br w:type="page"/>
      </w:r>
    </w:p>
    <w:p>
      <w:pPr>
        <w:pStyle w:val="Normal"/>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color w:val="000000"/>
          <w:sz w:val="18"/>
          <w:szCs w:val="18"/>
        </w:rPr>
        <w:t>ZAŁĄCZNIK NR 8</w:t>
      </w:r>
    </w:p>
    <w:p>
      <w:pPr>
        <w:pStyle w:val="Normal"/>
        <w:spacing w:before="120" w:after="120"/>
        <w:jc w:val="center"/>
        <w:rPr>
          <w:rFonts w:ascii="Calibri" w:hAnsi="Calibri" w:cs="Calibri" w:asciiTheme="minorHAnsi" w:cstheme="minorHAnsi" w:hAnsiTheme="minorHAnsi"/>
        </w:rPr>
      </w:pPr>
      <w:r>
        <w:rPr>
          <w:rFonts w:cs="Calibri" w:ascii="Calibri" w:hAnsi="Calibri" w:asciiTheme="minorHAnsi" w:cstheme="minorHAnsi" w:hAnsiTheme="minorHAnsi"/>
          <w:b/>
          <w:color w:val="000000"/>
          <w:sz w:val="18"/>
          <w:szCs w:val="18"/>
        </w:rPr>
        <w:t xml:space="preserve">DO UMOWY WDROŻENIOWEJ (NR </w:t>
      </w:r>
      <w:r>
        <w:rPr>
          <w:rFonts w:cs="Calibri" w:ascii="Calibri" w:hAnsi="Calibri" w:asciiTheme="minorHAnsi" w:cstheme="minorHAnsi" w:hAnsiTheme="minorHAnsi"/>
          <w:b/>
          <w:color w:val="000000"/>
          <w:sz w:val="18"/>
          <w:szCs w:val="18"/>
          <w:highlight w:val="yellow"/>
        </w:rPr>
        <w:t>____________________</w:t>
      </w:r>
      <w:r>
        <w:rPr>
          <w:rFonts w:cs="Calibri" w:ascii="Calibri" w:hAnsi="Calibri" w:asciiTheme="minorHAnsi" w:cstheme="minorHAnsi" w:hAnsiTheme="minorHAnsi"/>
          <w:b/>
          <w:color w:val="000000"/>
          <w:sz w:val="18"/>
          <w:szCs w:val="18"/>
        </w:rPr>
        <w:t>)</w:t>
      </w:r>
    </w:p>
    <w:p>
      <w:pPr>
        <w:pStyle w:val="Normal"/>
        <w:tabs>
          <w:tab w:val="clear" w:pos="709"/>
          <w:tab w:val="left" w:pos="2254" w:leader="none"/>
        </w:tabs>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Normal"/>
        <w:tabs>
          <w:tab w:val="clear" w:pos="709"/>
          <w:tab w:val="left" w:pos="2254" w:leader="none"/>
        </w:tabs>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bl>
      <w:tblPr>
        <w:tblW w:w="9397" w:type="dxa"/>
        <w:jc w:val="left"/>
        <w:tblInd w:w="-6" w:type="dxa"/>
        <w:tblLayout w:type="fixed"/>
        <w:tblCellMar>
          <w:top w:w="0" w:type="dxa"/>
          <w:left w:w="5" w:type="dxa"/>
          <w:bottom w:w="0" w:type="dxa"/>
          <w:right w:w="0" w:type="dxa"/>
        </w:tblCellMar>
        <w:tblLook w:firstRow="0" w:noVBand="0" w:lastRow="0" w:firstColumn="0" w:lastColumn="0" w:noHBand="0" w:val="0000"/>
      </w:tblPr>
      <w:tblGrid>
        <w:gridCol w:w="425"/>
        <w:gridCol w:w="1429"/>
        <w:gridCol w:w="1699"/>
        <w:gridCol w:w="1308"/>
        <w:gridCol w:w="2410"/>
        <w:gridCol w:w="1275"/>
        <w:gridCol w:w="850"/>
      </w:tblGrid>
      <w:tr>
        <w:trPr>
          <w:tblHeader w:val="true"/>
        </w:trPr>
        <w:tc>
          <w:tcPr>
            <w:tcW w:w="42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L.p.</w:t>
            </w:r>
          </w:p>
        </w:tc>
        <w:tc>
          <w:tcPr>
            <w:tcW w:w="1429"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Nazwa zbioru</w:t>
            </w:r>
          </w:p>
        </w:tc>
        <w:tc>
          <w:tcPr>
            <w:tcW w:w="1699"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Cel przetwarzania danych w zbiorze</w:t>
            </w:r>
          </w:p>
        </w:tc>
        <w:tc>
          <w:tcPr>
            <w:tcW w:w="130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Opis kategorii osób, których dane są przetwarzane w zbiorze</w:t>
            </w:r>
          </w:p>
        </w:tc>
        <w:tc>
          <w:tcPr>
            <w:tcW w:w="241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Zakres danych przetwarzanych w zbiorze</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Sposób zbierania danych do zbioru (od osób, których dotyczą / z innych źródeł niż osoba, której dotyczą)</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 xml:space="preserve">Podstawa Prawna </w:t>
            </w:r>
          </w:p>
        </w:tc>
      </w:tr>
      <w:tr>
        <w:trPr/>
        <w:tc>
          <w:tcPr>
            <w:tcW w:w="42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1.</w:t>
            </w:r>
          </w:p>
        </w:tc>
        <w:tc>
          <w:tcPr>
            <w:tcW w:w="142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Dane Osobowe Pacjentów</w:t>
            </w:r>
          </w:p>
        </w:tc>
        <w:tc>
          <w:tcPr>
            <w:tcW w:w="169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Świadczenie przez Wykonawcę Usług określonych w Umowie wiążących się  z dostępem do Danych Osobowych</w:t>
            </w:r>
          </w:p>
        </w:tc>
        <w:tc>
          <w:tcPr>
            <w:tcW w:w="1308"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Pacjenci</w:t>
            </w:r>
          </w:p>
        </w:tc>
        <w:tc>
          <w:tcPr>
            <w:tcW w:w="2410" w:type="dxa"/>
            <w:tcBorders>
              <w:top w:val="single" w:sz="4" w:space="0" w:color="000000"/>
              <w:left w:val="single" w:sz="4" w:space="0" w:color="000000"/>
              <w:bottom w:val="single" w:sz="4" w:space="0" w:color="000000"/>
            </w:tcBorders>
            <w:shd w:color="auto" w:fill="auto" w:val="clear"/>
          </w:tcPr>
          <w:p>
            <w:pPr>
              <w:pStyle w:val="ListParagraph"/>
              <w:widowControl w:val="false"/>
              <w:ind w:left="137" w:right="143" w:hanging="0"/>
              <w:jc w:val="both"/>
              <w:rPr>
                <w:rFonts w:ascii="Calibri" w:hAnsi="Calibri" w:cs="Calibri" w:asciiTheme="minorHAnsi" w:cstheme="minorHAnsi" w:hAnsiTheme="minorHAnsi"/>
              </w:rPr>
            </w:pPr>
            <w:r>
              <w:rPr>
                <w:rFonts w:cs="Calibri" w:ascii="Calibri" w:hAnsi="Calibri" w:asciiTheme="minorHAnsi" w:cstheme="minorHAnsi" w:hAnsiTheme="minorHAnsi"/>
                <w:color w:val="000000"/>
                <w:sz w:val="18"/>
                <w:szCs w:val="18"/>
                <w:shd w:fill="FFFFFF" w:val="clear"/>
              </w:rPr>
              <w:t>Numer Pacjenta/ Identyfikator pacjenta/ Dodatkowy Numer Pacjenta, Karta Pacjenta (np. NFZ)</w:t>
            </w:r>
            <w:r>
              <w:rPr>
                <w:rFonts w:cs="Calibri" w:ascii="Calibri" w:hAnsi="Calibri" w:asciiTheme="minorHAnsi" w:cstheme="minorHAnsi" w:hAnsiTheme="minorHAnsi"/>
                <w:sz w:val="18"/>
                <w:szCs w:val="18"/>
              </w:rPr>
              <w:t>, Imię, Drugie imię, Nazwisko, Nazwisko rodowe, Imię ojca, Imię matki, Płeć, Obywatelstwo/ Kraj, Wykształcenie, Numer PESEL</w:t>
            </w:r>
            <w:r>
              <w:rPr>
                <w:rFonts w:cs="Calibri" w:ascii="Calibri" w:hAnsi="Calibri" w:asciiTheme="minorHAnsi" w:cstheme="minorHAnsi" w:hAnsiTheme="minorHAnsi"/>
                <w:color w:val="000000"/>
                <w:sz w:val="18"/>
                <w:szCs w:val="18"/>
                <w:shd w:fill="FFFFFF" w:val="clear"/>
              </w:rPr>
              <w:t>, ID Dokumentu Tożsamości/ Typ dokumentu, Numer Dokumentu Tożsamości/ Seria Dokumentu, Numer Kartoteki Papierowej</w:t>
            </w:r>
            <w:r>
              <w:rPr>
                <w:rFonts w:cs="Calibri" w:ascii="Calibri" w:hAnsi="Calibri" w:asciiTheme="minorHAnsi" w:cstheme="minorHAnsi" w:hAnsiTheme="minorHAnsi"/>
                <w:sz w:val="18"/>
                <w:szCs w:val="18"/>
              </w:rPr>
              <w:t>, Data urodzenia, Miejsce urodzenia, Płeć, Stan cywilny, NIP</w:t>
            </w:r>
            <w:r>
              <w:rPr>
                <w:rFonts w:cs="Calibri" w:ascii="Calibri" w:hAnsi="Calibri" w:asciiTheme="minorHAnsi" w:cstheme="minorHAnsi" w:hAnsiTheme="minorHAnsi"/>
                <w:color w:val="000000"/>
                <w:sz w:val="18"/>
                <w:szCs w:val="18"/>
                <w:shd w:fill="FFFFFF" w:val="clear"/>
              </w:rPr>
              <w:t>, Typ kontaktu, Dane kontaktowe</w:t>
            </w:r>
            <w:r>
              <w:rPr>
                <w:rFonts w:cs="Calibri" w:ascii="Calibri" w:hAnsi="Calibri" w:asciiTheme="minorHAnsi" w:cstheme="minorHAnsi" w:hAnsiTheme="minorHAnsi"/>
                <w:sz w:val="18"/>
                <w:szCs w:val="18"/>
              </w:rPr>
              <w:t>, Telefon 1,2,3; Fax, Email (adres poczty elektronicznej, Bank, Konto bankow</w:t>
            </w:r>
            <w:r>
              <w:rPr>
                <w:rFonts w:cs="Calibri" w:ascii="Calibri" w:hAnsi="Calibri" w:asciiTheme="minorHAnsi" w:cstheme="minorHAnsi" w:hAnsiTheme="minorHAnsi"/>
                <w:color w:val="000000"/>
                <w:sz w:val="18"/>
                <w:szCs w:val="18"/>
                <w:shd w:fill="FFFFFF" w:val="clear"/>
              </w:rPr>
              <w:t>e, Typ Ubezpieczalni, Numer Ubezpieczenia, Dokument Ubezpieczeniowy, Numer ubezpieczenia, Status ubezpieczenia, Status deklaracji, Zakład pracy, Nip zakładu pracy, Zawód, Wykształcenie, Oddział nfz, Płatnik, Płatnik zakład pracy, Nazwa skrócona płatnika,</w:t>
            </w:r>
            <w:r>
              <w:rPr>
                <w:rFonts w:cs="Calibri" w:ascii="Calibri" w:hAnsi="Calibri" w:asciiTheme="minorHAnsi" w:cstheme="minorHAnsi" w:hAnsiTheme="minorHAnsi"/>
                <w:sz w:val="18"/>
                <w:szCs w:val="18"/>
              </w:rPr>
              <w:t xml:space="preserve"> Adres miejsca zamieszkania (Nazwa miasta; Kod pocztowy miasta; Nazwa ulicy; Numer domu; Numer lokalu /Mieszkania;</w:t>
            </w:r>
            <w:r>
              <w:rPr>
                <w:rFonts w:cs="Calibri" w:ascii="Calibri" w:hAnsi="Calibri" w:asciiTheme="minorHAnsi" w:cstheme="minorHAnsi" w:hAnsiTheme="minorHAnsi"/>
                <w:color w:val="000000"/>
                <w:sz w:val="18"/>
                <w:szCs w:val="18"/>
                <w:shd w:fill="FFFFFF" w:val="clear"/>
              </w:rPr>
              <w:t xml:space="preserve"> Kod Terytorialny), </w:t>
            </w:r>
            <w:r>
              <w:rPr>
                <w:rFonts w:cs="Calibri" w:ascii="Calibri" w:hAnsi="Calibri" w:asciiTheme="minorHAnsi" w:cstheme="minorHAnsi" w:hAnsiTheme="minorHAnsi"/>
                <w:sz w:val="18"/>
                <w:szCs w:val="18"/>
              </w:rPr>
              <w:t>Adres do korespondencji (Nazwa miasta; Kod pocztowy miasta; Nazwa ulicy; Numer domu; Ewentualnie numer lokalu;</w:t>
              <w:br/>
              <w:t>Kod Terytorialny), Typ dokumentu opiekuna</w:t>
            </w:r>
            <w:r>
              <w:rPr>
                <w:rFonts w:cs="Calibri" w:ascii="Calibri" w:hAnsi="Calibri" w:asciiTheme="minorHAnsi" w:cstheme="minorHAnsi" w:hAnsiTheme="minorHAnsi"/>
                <w:color w:val="000000"/>
                <w:sz w:val="18"/>
                <w:szCs w:val="18"/>
                <w:shd w:fill="FFFFFF" w:val="clear"/>
              </w:rPr>
              <w:t>, Numer dokumentu opiekuna</w:t>
            </w:r>
            <w:r>
              <w:rPr>
                <w:rFonts w:cs="Calibri" w:ascii="Calibri" w:hAnsi="Calibri" w:asciiTheme="minorHAnsi" w:cstheme="minorHAnsi" w:hAnsiTheme="minorHAnsi"/>
                <w:sz w:val="18"/>
                <w:szCs w:val="18"/>
              </w:rPr>
              <w:t>, Dane o stanie zdrowia.</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ind w:left="170" w:hanging="0"/>
              <w:rPr>
                <w:rFonts w:ascii="Calibri" w:hAnsi="Calibri" w:cs="Calibri" w:asciiTheme="minorHAnsi" w:cstheme="minorHAnsi" w:hAnsiTheme="minorHAnsi"/>
              </w:rPr>
            </w:pPr>
            <w:r>
              <w:rPr>
                <w:rFonts w:cs="Calibri" w:ascii="Calibri" w:hAnsi="Calibri" w:asciiTheme="minorHAnsi" w:cstheme="minorHAnsi" w:hAnsi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Calibri" w:hAnsi="Calibri" w:cs="Calibri" w:asciiTheme="minorHAnsi" w:cstheme="minorHAnsi" w:hAnsiTheme="minorHAnsi"/>
                <w:sz w:val="18"/>
                <w:szCs w:val="18"/>
              </w:rPr>
            </w:pPr>
            <w:r>
              <w:rPr>
                <w:rFonts w:cs="Calibri" w:cstheme="minorHAnsi" w:ascii="Calibri" w:hAnsi="Calibri"/>
                <w:sz w:val="18"/>
                <w:szCs w:val="18"/>
              </w:rPr>
            </w:r>
          </w:p>
        </w:tc>
      </w:tr>
      <w:tr>
        <w:trPr/>
        <w:tc>
          <w:tcPr>
            <w:tcW w:w="42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2.</w:t>
            </w:r>
          </w:p>
        </w:tc>
        <w:tc>
          <w:tcPr>
            <w:tcW w:w="142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Dane Osobowe Przedstawicieli Ustawowych Pacjentów</w:t>
            </w:r>
          </w:p>
        </w:tc>
        <w:tc>
          <w:tcPr>
            <w:tcW w:w="169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Świadczenie Przez Wykonawcę Usług Określonych W Umowie Wiążących Się Z Dostępem</w:t>
              <w:br/>
              <w:t>Do Danych Osobowych</w:t>
            </w:r>
          </w:p>
        </w:tc>
        <w:tc>
          <w:tcPr>
            <w:tcW w:w="1308"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Przedstawiciele Ustawowi Pacjentów</w:t>
            </w:r>
          </w:p>
        </w:tc>
        <w:tc>
          <w:tcPr>
            <w:tcW w:w="2410" w:type="dxa"/>
            <w:tcBorders>
              <w:top w:val="single" w:sz="4" w:space="0" w:color="000000"/>
              <w:left w:val="single" w:sz="4" w:space="0" w:color="000000"/>
              <w:bottom w:val="single" w:sz="4" w:space="0" w:color="000000"/>
            </w:tcBorders>
            <w:shd w:color="auto" w:fill="auto" w:val="clear"/>
          </w:tcPr>
          <w:p>
            <w:pPr>
              <w:pStyle w:val="ListParagraph"/>
              <w:widowControl w:val="false"/>
              <w:ind w:left="0" w:hanging="0"/>
              <w:jc w:val="both"/>
              <w:rPr>
                <w:rFonts w:ascii="Calibri" w:hAnsi="Calibri" w:cs="Calibri" w:asciiTheme="minorHAnsi" w:cstheme="minorHAnsi" w:hAnsiTheme="minorHAnsi"/>
              </w:rPr>
            </w:pPr>
            <w:r>
              <w:rPr>
                <w:rFonts w:cs="Calibri" w:ascii="Calibri" w:hAnsi="Calibri" w:asciiTheme="minorHAnsi" w:cstheme="minorHAnsi" w:hAnsiTheme="minorHAnsi"/>
                <w:sz w:val="18"/>
                <w:szCs w:val="18"/>
              </w:rPr>
              <w:t>Imię (imiona) i nazwisko, Adres zamieszkania (nazwa miasta, kod pocztowy miasta, nazwa ulicy, numer domu, ewentualnie numer lokalu), Pesel.</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ind w:left="113" w:hanging="0"/>
              <w:rPr>
                <w:rFonts w:ascii="Calibri" w:hAnsi="Calibri" w:cs="Calibri" w:asciiTheme="minorHAnsi" w:cstheme="minorHAnsi" w:hAnsiTheme="minorHAnsi"/>
              </w:rPr>
            </w:pPr>
            <w:r>
              <w:rPr>
                <w:rFonts w:cs="Calibri" w:ascii="Calibri" w:hAnsi="Calibri" w:asciiTheme="minorHAnsi" w:cstheme="minorHAnsi" w:hAnsi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Calibri" w:hAnsi="Calibri" w:cs="Calibri" w:asciiTheme="minorHAnsi" w:cstheme="minorHAnsi" w:hAnsiTheme="minorHAnsi"/>
                <w:sz w:val="18"/>
                <w:szCs w:val="18"/>
              </w:rPr>
            </w:pPr>
            <w:r>
              <w:rPr>
                <w:rFonts w:cs="Calibri" w:cstheme="minorHAnsi" w:ascii="Calibri" w:hAnsi="Calibri"/>
                <w:sz w:val="18"/>
                <w:szCs w:val="18"/>
              </w:rPr>
            </w:r>
          </w:p>
        </w:tc>
      </w:tr>
      <w:tr>
        <w:trPr/>
        <w:tc>
          <w:tcPr>
            <w:tcW w:w="42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 xml:space="preserve">3. </w:t>
            </w:r>
          </w:p>
        </w:tc>
        <w:tc>
          <w:tcPr>
            <w:tcW w:w="142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Dane Osobowe Osób Upoważnionych Do Uzyskiwania Dokumentacji Lub Informacji O Stanie Zdrowia Pacjentów</w:t>
            </w:r>
          </w:p>
        </w:tc>
        <w:tc>
          <w:tcPr>
            <w:tcW w:w="169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Świadczenie Przez Wykonawcę Usług Określonych W Umowie Wiążących Się Z Dostępem</w:t>
              <w:br/>
              <w:t>Do Danych Osobowych</w:t>
            </w:r>
          </w:p>
        </w:tc>
        <w:tc>
          <w:tcPr>
            <w:tcW w:w="1308"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Upoważnieni Do Uzyskiwania Dokumentacji I Informacji</w:t>
            </w:r>
          </w:p>
        </w:tc>
        <w:tc>
          <w:tcPr>
            <w:tcW w:w="2410" w:type="dxa"/>
            <w:tcBorders>
              <w:top w:val="single" w:sz="4" w:space="0" w:color="000000"/>
              <w:left w:val="single" w:sz="4" w:space="0" w:color="000000"/>
              <w:bottom w:val="single" w:sz="4" w:space="0" w:color="000000"/>
            </w:tcBorders>
            <w:shd w:color="auto" w:fill="auto" w:val="clear"/>
          </w:tcPr>
          <w:p>
            <w:pPr>
              <w:pStyle w:val="ListParagraph"/>
              <w:widowControl w:val="false"/>
              <w:ind w:left="0" w:hanging="0"/>
              <w:jc w:val="both"/>
              <w:rPr>
                <w:rFonts w:ascii="Calibri" w:hAnsi="Calibri" w:cs="Calibri" w:asciiTheme="minorHAnsi" w:cstheme="minorHAnsi" w:hAnsiTheme="minorHAnsi"/>
              </w:rPr>
            </w:pPr>
            <w:r>
              <w:rPr>
                <w:rFonts w:cs="Calibri" w:ascii="Calibri" w:hAnsi="Calibri" w:asciiTheme="minorHAnsi" w:cstheme="minorHAnsi" w:hAnsiTheme="minorHAnsi"/>
                <w:sz w:val="18"/>
                <w:szCs w:val="18"/>
              </w:rPr>
              <w:t>Imię (imiona) i nazwisko, Adres zamieszkania (nazwa miasta, kod pocztowy miasta, nazwa ulicy, numer domu, ewentualnie numer lokalu), Telefon kontaktowy, Data urodzenia.</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ind w:left="113" w:hanging="0"/>
              <w:rPr>
                <w:rFonts w:ascii="Calibri" w:hAnsi="Calibri" w:cs="Calibri" w:asciiTheme="minorHAnsi" w:cstheme="minorHAnsi" w:hAnsiTheme="minorHAnsi"/>
              </w:rPr>
            </w:pPr>
            <w:r>
              <w:rPr>
                <w:rFonts w:cs="Calibri" w:ascii="Calibri" w:hAnsi="Calibri" w:asciiTheme="minorHAnsi" w:cstheme="minorHAnsi" w:hAnsi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Calibri" w:hAnsi="Calibri" w:cs="Calibri" w:asciiTheme="minorHAnsi" w:cstheme="minorHAnsi" w:hAnsiTheme="minorHAnsi"/>
                <w:sz w:val="18"/>
                <w:szCs w:val="18"/>
              </w:rPr>
            </w:pPr>
            <w:r>
              <w:rPr>
                <w:rFonts w:cs="Calibri" w:cstheme="minorHAnsi" w:ascii="Calibri" w:hAnsi="Calibri"/>
                <w:sz w:val="18"/>
                <w:szCs w:val="18"/>
              </w:rPr>
            </w:r>
          </w:p>
        </w:tc>
      </w:tr>
      <w:tr>
        <w:trPr/>
        <w:tc>
          <w:tcPr>
            <w:tcW w:w="42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4.</w:t>
            </w:r>
          </w:p>
        </w:tc>
        <w:tc>
          <w:tcPr>
            <w:tcW w:w="142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Dane Osobowe Personelu Zlecającego Badania</w:t>
            </w:r>
          </w:p>
        </w:tc>
        <w:tc>
          <w:tcPr>
            <w:tcW w:w="169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Świadczenie Przez Wykonawcę Usług Określonych W Umowie Wiążących Się Z Dostępem</w:t>
              <w:br/>
              <w:t>Do Danych Osobowych</w:t>
            </w:r>
          </w:p>
        </w:tc>
        <w:tc>
          <w:tcPr>
            <w:tcW w:w="1308"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Personel Zlecający Badania</w:t>
            </w:r>
          </w:p>
        </w:tc>
        <w:tc>
          <w:tcPr>
            <w:tcW w:w="2410" w:type="dxa"/>
            <w:tcBorders>
              <w:top w:val="single" w:sz="4" w:space="0" w:color="000000"/>
              <w:left w:val="single" w:sz="4" w:space="0" w:color="000000"/>
              <w:bottom w:val="single" w:sz="4" w:space="0" w:color="000000"/>
            </w:tcBorders>
            <w:shd w:color="auto" w:fill="auto" w:val="clear"/>
          </w:tcPr>
          <w:p>
            <w:pPr>
              <w:pStyle w:val="ListParagraph"/>
              <w:widowControl w:val="false"/>
              <w:ind w:left="0" w:hanging="0"/>
              <w:jc w:val="both"/>
              <w:rPr>
                <w:rFonts w:ascii="Calibri" w:hAnsi="Calibri" w:cs="Calibri" w:asciiTheme="minorHAnsi" w:cstheme="minorHAnsi" w:hAnsiTheme="minorHAnsi"/>
              </w:rPr>
            </w:pPr>
            <w:r>
              <w:rPr>
                <w:rFonts w:cs="Calibri" w:ascii="Calibri" w:hAnsi="Calibri" w:asciiTheme="minorHAnsi" w:cstheme="minorHAnsi" w:hAnsiTheme="minorHAnsi"/>
                <w:sz w:val="18"/>
                <w:szCs w:val="18"/>
              </w:rPr>
              <w:t>Imię (imiona) i nazwisko, Zawód, Specjalizacja, Numer prawa wykonywania zawodu.</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ind w:left="113" w:hanging="0"/>
              <w:rPr>
                <w:rFonts w:ascii="Calibri" w:hAnsi="Calibri" w:cs="Calibri" w:asciiTheme="minorHAnsi" w:cstheme="minorHAnsi" w:hAnsiTheme="minorHAnsi"/>
              </w:rPr>
            </w:pPr>
            <w:r>
              <w:rPr>
                <w:rFonts w:cs="Calibri" w:ascii="Calibri" w:hAnsi="Calibri" w:asciiTheme="minorHAnsi" w:cstheme="minorHAnsi" w:hAnsi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Calibri" w:hAnsi="Calibri" w:cs="Calibri" w:asciiTheme="minorHAnsi" w:cstheme="minorHAnsi" w:hAnsiTheme="minorHAnsi"/>
                <w:sz w:val="18"/>
                <w:szCs w:val="18"/>
              </w:rPr>
            </w:pPr>
            <w:r>
              <w:rPr>
                <w:rFonts w:cs="Calibri" w:cstheme="minorHAnsi" w:ascii="Calibri" w:hAnsi="Calibri"/>
                <w:sz w:val="18"/>
                <w:szCs w:val="18"/>
              </w:rPr>
            </w:r>
          </w:p>
        </w:tc>
      </w:tr>
      <w:tr>
        <w:trPr/>
        <w:tc>
          <w:tcPr>
            <w:tcW w:w="42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bCs/>
                <w:sz w:val="18"/>
                <w:szCs w:val="18"/>
              </w:rPr>
              <w:t>5.</w:t>
            </w:r>
          </w:p>
        </w:tc>
        <w:tc>
          <w:tcPr>
            <w:tcW w:w="142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Dane Osobowe Klienta (Placówki Medycznej)</w:t>
            </w:r>
          </w:p>
        </w:tc>
        <w:tc>
          <w:tcPr>
            <w:tcW w:w="1699"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Świadczenie przez Wykonawcę Usług określonych w Umowie wiążących się z dostępem do Danych Osobowych</w:t>
            </w:r>
          </w:p>
        </w:tc>
        <w:tc>
          <w:tcPr>
            <w:tcW w:w="1308"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sz w:val="18"/>
                <w:szCs w:val="18"/>
              </w:rPr>
              <w:t>Osoby kontaktowe w Kontrakcie</w:t>
            </w:r>
          </w:p>
        </w:tc>
        <w:tc>
          <w:tcPr>
            <w:tcW w:w="2410" w:type="dxa"/>
            <w:tcBorders>
              <w:top w:val="single" w:sz="4" w:space="0" w:color="000000"/>
              <w:left w:val="single" w:sz="4" w:space="0" w:color="000000"/>
              <w:bottom w:val="single" w:sz="4" w:space="0" w:color="000000"/>
            </w:tcBorders>
            <w:shd w:color="auto" w:fill="auto" w:val="clear"/>
          </w:tcPr>
          <w:p>
            <w:pPr>
              <w:pStyle w:val="ListParagraph"/>
              <w:widowControl w:val="false"/>
              <w:ind w:left="0" w:hanging="0"/>
              <w:jc w:val="both"/>
              <w:rPr>
                <w:rFonts w:ascii="Calibri" w:hAnsi="Calibri" w:cs="Calibri" w:asciiTheme="minorHAnsi" w:cstheme="minorHAnsi" w:hAnsiTheme="minorHAnsi"/>
              </w:rPr>
            </w:pPr>
            <w:r>
              <w:rPr>
                <w:rFonts w:cs="Calibri" w:ascii="Calibri" w:hAnsi="Calibri" w:asciiTheme="minorHAnsi" w:cstheme="minorHAnsi" w:hAnsiTheme="minorHAnsi"/>
                <w:sz w:val="18"/>
                <w:szCs w:val="18"/>
              </w:rPr>
              <w:t>Id klienta, Imię, Nazwisko, Email, Pesel, Numer domu, Numer mieszkania, Kod pocztowy, Miejscowość, Telefon sms, Telefon,</w:t>
              <w:br/>
              <w:t>Typ kontaktu, Kontakt.</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Calibri" w:hAnsi="Calibri" w:cs="Calibri" w:asciiTheme="minorHAnsi" w:cstheme="minorHAnsi" w:hAnsiTheme="minorHAnsi"/>
                <w:sz w:val="18"/>
                <w:szCs w:val="18"/>
              </w:rPr>
            </w:pPr>
            <w:r>
              <w:rPr>
                <w:rFonts w:cs="Calibri" w:cstheme="minorHAnsi" w:ascii="Calibri" w:hAnsi="Calibri"/>
                <w:sz w:val="18"/>
                <w:szCs w:val="18"/>
              </w:rPr>
            </w:r>
          </w:p>
        </w:tc>
      </w:tr>
    </w:tbl>
    <w:p>
      <w:pPr>
        <w:pStyle w:val="Normal"/>
        <w:rPr>
          <w:rFonts w:ascii="Calibri" w:hAnsi="Calibri" w:cs="Calibri" w:asciiTheme="minorHAnsi" w:cstheme="minorHAnsi" w:hAnsiTheme="minorHAnsi"/>
          <w:sz w:val="18"/>
          <w:szCs w:val="18"/>
        </w:rPr>
      </w:pPr>
      <w:r>
        <w:rPr/>
      </w:r>
    </w:p>
    <w:sectPr>
      <w:headerReference w:type="default" r:id="rId3"/>
      <w:footerReference w:type="even" r:id="rId4"/>
      <w:footerReference w:type="default" r:id="rId5"/>
      <w:footerReference w:type="first" r:id="rId6"/>
      <w:type w:val="nextPage"/>
      <w:pgSz w:w="11906" w:h="16838"/>
      <w:pgMar w:left="1418" w:right="1418" w:gutter="0" w:header="709" w:top="1661" w:footer="709" w:bottom="128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rebuchet MS">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Verdana">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 w:name="Century Gothic">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Ramka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Ramka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jc w:val="center"/>
      <w:rPr>
        <w:rFonts w:ascii="Calibri" w:hAnsi="Calibri" w:cs="Tahoma"/>
        <w:sz w:val="18"/>
        <w:szCs w:val="18"/>
      </w:rPr>
    </w:pPr>
    <w:r>
      <w:rPr>
        <w:rFonts w:cs="Tahoma" w:ascii="Calibri" w:hAnsi="Calibri"/>
        <w:sz w:val="18"/>
        <w:szCs w:val="18"/>
      </w:rPr>
      <w:t xml:space="preserve">Strona </w:t>
    </w:r>
    <w:r>
      <w:rPr>
        <w:rStyle w:val="Pagenumber"/>
        <w:rFonts w:cs="Tahoma" w:ascii="Calibri" w:hAnsi="Calibri"/>
        <w:sz w:val="18"/>
        <w:szCs w:val="18"/>
      </w:rPr>
      <w:fldChar w:fldCharType="begin"/>
    </w:r>
    <w:r>
      <w:rPr>
        <w:rStyle w:val="Pagenumber"/>
        <w:sz w:val="18"/>
        <w:szCs w:val="18"/>
        <w:rFonts w:cs="Tahoma" w:ascii="Calibri" w:hAnsi="Calibri"/>
      </w:rPr>
      <w:instrText xml:space="preserve"> PAGE </w:instrText>
    </w:r>
    <w:r>
      <w:rPr>
        <w:rStyle w:val="Pagenumber"/>
        <w:sz w:val="18"/>
        <w:szCs w:val="18"/>
        <w:rFonts w:cs="Tahoma" w:ascii="Calibri" w:hAnsi="Calibri"/>
      </w:rPr>
      <w:fldChar w:fldCharType="separate"/>
    </w:r>
    <w:r>
      <w:rPr>
        <w:rStyle w:val="Pagenumber"/>
        <w:sz w:val="18"/>
        <w:szCs w:val="18"/>
        <w:rFonts w:cs="Tahoma" w:ascii="Calibri" w:hAnsi="Calibri"/>
      </w:rPr>
      <w:t>28</w:t>
    </w:r>
    <w:r>
      <w:rPr>
        <w:rStyle w:val="Pagenumber"/>
        <w:sz w:val="18"/>
        <w:szCs w:val="18"/>
        <w:rFonts w:cs="Tahoma"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jc w:val="center"/>
      <w:rPr>
        <w:rFonts w:ascii="Calibri" w:hAnsi="Calibri" w:cs="Tahoma"/>
        <w:sz w:val="18"/>
        <w:szCs w:val="18"/>
      </w:rPr>
    </w:pPr>
    <w:r>
      <w:rPr>
        <w:rFonts w:cs="Tahoma" w:ascii="Calibri" w:hAnsi="Calibri"/>
        <w:sz w:val="18"/>
        <w:szCs w:val="18"/>
      </w:rPr>
      <w:t xml:space="preserve">Strona </w:t>
    </w:r>
    <w:r>
      <w:rPr>
        <w:rStyle w:val="Pagenumber"/>
        <w:rFonts w:cs="Tahoma" w:ascii="Calibri" w:hAnsi="Calibri"/>
        <w:sz w:val="18"/>
        <w:szCs w:val="18"/>
      </w:rPr>
      <w:fldChar w:fldCharType="begin"/>
    </w:r>
    <w:r>
      <w:rPr>
        <w:rStyle w:val="Pagenumber"/>
        <w:sz w:val="18"/>
        <w:szCs w:val="18"/>
        <w:rFonts w:cs="Tahoma" w:ascii="Calibri" w:hAnsi="Calibri"/>
      </w:rPr>
      <w:instrText xml:space="preserve"> PAGE </w:instrText>
    </w:r>
    <w:r>
      <w:rPr>
        <w:rStyle w:val="Pagenumber"/>
        <w:sz w:val="18"/>
        <w:szCs w:val="18"/>
        <w:rFonts w:cs="Tahoma" w:ascii="Calibri" w:hAnsi="Calibri"/>
      </w:rPr>
      <w:fldChar w:fldCharType="separate"/>
    </w:r>
    <w:r>
      <w:rPr>
        <w:rStyle w:val="Pagenumber"/>
        <w:sz w:val="18"/>
        <w:szCs w:val="18"/>
        <w:rFonts w:cs="Tahoma" w:ascii="Calibri" w:hAnsi="Calibri"/>
      </w:rPr>
      <w:t>28</w:t>
    </w:r>
    <w:r>
      <w:rPr>
        <w:rStyle w:val="Pagenumber"/>
        <w:sz w:val="18"/>
        <w:szCs w:val="18"/>
        <w:rFonts w:cs="Tahoma"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p>
    <w:pPr>
      <w:pStyle w:val="Gwka"/>
      <w:rPr>
        <w:rFonts w:ascii="Arial Narrow" w:hAnsi="Arial Narrow"/>
        <w:sz w:val="20"/>
        <w:szCs w:val="20"/>
      </w:rPr>
    </w:pPr>
    <w:r>
      <w:rPr>
        <w:rFonts w:ascii="Arial Narrow" w:hAnsi="Arial Narrow"/>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rFonts w:ascii="Calibri" w:hAnsi="Calibri" w:eastAsia="Times New Roman" w:cs="Tahoma"/>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720"/>
        </w:tabs>
        <w:ind w:left="720" w:hanging="360"/>
      </w:pPr>
      <w:rPr>
        <w:sz w:val="18"/>
        <w:b w:val="false"/>
        <w:szCs w:val="18"/>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rFonts w:ascii="Calibri" w:hAnsi="Calibri" w:eastAsia="Times New Roman" w:cs="Tahoma"/>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rPr/>
    </w:lvl>
    <w:lvl w:ilvl="2">
      <w:start w:val="1"/>
      <w:numFmt w:val="lowerLetter"/>
      <w:lvlText w:val="%3)"/>
      <w:lvlJc w:val="left"/>
      <w:pPr>
        <w:tabs>
          <w:tab w:val="num" w:pos="234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720"/>
        </w:tabs>
        <w:ind w:left="720" w:hanging="360"/>
      </w:pPr>
      <w:rPr>
        <w:sz w:val="18"/>
        <w:b w:val="false"/>
        <w:szCs w:val="18"/>
      </w:rPr>
    </w:lvl>
    <w:lvl w:ilvl="1">
      <w:start w:val="1"/>
      <w:numFmt w:val="lowerLetter"/>
      <w:lvlText w:val="%2)"/>
      <w:lvlJc w:val="left"/>
      <w:pPr>
        <w:tabs>
          <w:tab w:val="num" w:pos="4320"/>
        </w:tabs>
        <w:ind w:left="4320" w:hanging="360"/>
      </w:pPr>
      <w:rPr>
        <w:rFonts w:ascii="Calibri" w:hAnsi="Calibri" w:eastAsia="Times New Roman" w:cs="Tahoma"/>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b w:val="false"/>
      </w:rPr>
    </w:lvl>
    <w:lvl w:ilvl="1">
      <w:start w:val="1"/>
      <w:numFmt w:val="decimal"/>
      <w:lvlText w:val="%2)"/>
      <w:lvlJc w:val="left"/>
      <w:pPr>
        <w:tabs>
          <w:tab w:val="num" w:pos="1080"/>
        </w:tabs>
        <w:ind w:left="1080" w:hanging="360"/>
      </w:pPr>
      <w:rPr/>
    </w:lvl>
    <w:lvl w:ilvl="2">
      <w:start w:val="1"/>
      <w:numFmt w:val="lowerLetter"/>
      <w:lvlText w:val="%3)"/>
      <w:lvlJc w:val="right"/>
      <w:pPr>
        <w:tabs>
          <w:tab w:val="num" w:pos="1800"/>
        </w:tabs>
        <w:ind w:left="1800" w:hanging="180"/>
      </w:pPr>
      <w:rPr>
        <w:rFonts w:ascii="Calibri" w:hAnsi="Calibri" w:eastAsia="Times New Roman" w:cs="Tahoma"/>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0">
    <w:lvl w:ilvl="0">
      <w:start w:val="1"/>
      <w:numFmt w:val="decimal"/>
      <w:lvlText w:val="%1."/>
      <w:lvlJc w:val="left"/>
      <w:pPr>
        <w:tabs>
          <w:tab w:val="num" w:pos="2520"/>
        </w:tabs>
        <w:ind w:left="2520" w:hanging="360"/>
      </w:pPr>
      <w:rPr/>
    </w:lvl>
    <w:lvl w:ilvl="1">
      <w:start w:val="1"/>
      <w:numFmt w:val="lowerLetter"/>
      <w:lvlText w:val="%2."/>
      <w:lvlJc w:val="left"/>
      <w:pPr>
        <w:tabs>
          <w:tab w:val="num" w:pos="3240"/>
        </w:tabs>
        <w:ind w:left="3240" w:hanging="360"/>
      </w:pPr>
      <w:rPr/>
    </w:lvl>
    <w:lvl w:ilvl="2">
      <w:start w:val="1"/>
      <w:numFmt w:val="lowerRoman"/>
      <w:lvlText w:val="%3."/>
      <w:lvlJc w:val="right"/>
      <w:pPr>
        <w:tabs>
          <w:tab w:val="num" w:pos="3960"/>
        </w:tabs>
        <w:ind w:left="3960" w:hanging="180"/>
      </w:pPr>
      <w:rPr/>
    </w:lvl>
    <w:lvl w:ilvl="3">
      <w:start w:val="1"/>
      <w:numFmt w:val="decimal"/>
      <w:lvlText w:val="%4."/>
      <w:lvlJc w:val="left"/>
      <w:pPr>
        <w:tabs>
          <w:tab w:val="num" w:pos="4680"/>
        </w:tabs>
        <w:ind w:left="4680" w:hanging="360"/>
      </w:pPr>
      <w:rPr/>
    </w:lvl>
    <w:lvl w:ilvl="4">
      <w:start w:val="1"/>
      <w:numFmt w:val="lowerLetter"/>
      <w:lvlText w:val="%5."/>
      <w:lvlJc w:val="left"/>
      <w:pPr>
        <w:tabs>
          <w:tab w:val="num" w:pos="5400"/>
        </w:tabs>
        <w:ind w:left="5400" w:hanging="360"/>
      </w:pPr>
      <w:rPr/>
    </w:lvl>
    <w:lvl w:ilvl="5">
      <w:start w:val="1"/>
      <w:numFmt w:val="lowerRoman"/>
      <w:lvlText w:val="%6."/>
      <w:lvlJc w:val="right"/>
      <w:pPr>
        <w:tabs>
          <w:tab w:val="num" w:pos="6120"/>
        </w:tabs>
        <w:ind w:left="6120" w:hanging="180"/>
      </w:pPr>
      <w:rPr/>
    </w:lvl>
    <w:lvl w:ilvl="6">
      <w:start w:val="1"/>
      <w:numFmt w:val="decimal"/>
      <w:lvlText w:val="%7."/>
      <w:lvlJc w:val="left"/>
      <w:pPr>
        <w:tabs>
          <w:tab w:val="num" w:pos="6840"/>
        </w:tabs>
        <w:ind w:left="6840" w:hanging="360"/>
      </w:pPr>
      <w:rPr/>
    </w:lvl>
    <w:lvl w:ilvl="7">
      <w:start w:val="1"/>
      <w:numFmt w:val="lowerLetter"/>
      <w:lvlText w:val="%8)"/>
      <w:lvlJc w:val="left"/>
      <w:pPr>
        <w:tabs>
          <w:tab w:val="num" w:pos="7560"/>
        </w:tabs>
        <w:ind w:left="7560" w:hanging="360"/>
      </w:pPr>
      <w:rPr/>
    </w:lvl>
    <w:lvl w:ilvl="8">
      <w:start w:val="1"/>
      <w:numFmt w:val="lowerRoman"/>
      <w:lvlText w:val="%9."/>
      <w:lvlJc w:val="right"/>
      <w:pPr>
        <w:tabs>
          <w:tab w:val="num" w:pos="8280"/>
        </w:tabs>
        <w:ind w:left="8280" w:hanging="180"/>
      </w:pPr>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b w:val="false"/>
      </w:rPr>
    </w:lvl>
    <w:lvl w:ilvl="2">
      <w:start w:val="1"/>
      <w:numFmt w:val="upperRoman"/>
      <w:lvlText w:val="%3."/>
      <w:lvlJc w:val="left"/>
      <w:pPr>
        <w:tabs>
          <w:tab w:val="num" w:pos="2520"/>
        </w:tabs>
        <w:ind w:left="2520" w:hanging="720"/>
      </w:pPr>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decimal"/>
      <w:lvlText w:val="%1."/>
      <w:lvlJc w:val="left"/>
      <w:pPr>
        <w:tabs>
          <w:tab w:val="num" w:pos="360"/>
        </w:tabs>
        <w:ind w:left="360" w:hanging="360"/>
      </w:pPr>
      <w:rPr>
        <w:rFonts w:ascii="Calibri" w:hAnsi="Calibri" w:eastAsia="Times New Roman" w:cs="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4">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15">
    <w:lvl w:ilvl="0">
      <w:start w:val="1"/>
      <w:numFmt w:val="lowerLetter"/>
      <w:lvlText w:val="%1)"/>
      <w:lvlJc w:val="left"/>
      <w:pPr>
        <w:tabs>
          <w:tab w:val="num" w:pos="1080"/>
        </w:tabs>
        <w:ind w:left="1080" w:hanging="360"/>
      </w:pPr>
      <w:rPr/>
    </w:lvl>
    <w:lvl w:ilvl="1">
      <w:start w:val="1"/>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6">
    <w:lvl w:ilvl="0">
      <w:start w:val="1"/>
      <w:numFmt w:val="lowerLetter"/>
      <w:lvlText w:val="%1)"/>
      <w:lvlJc w:val="left"/>
      <w:pPr>
        <w:tabs>
          <w:tab w:val="num" w:pos="360"/>
        </w:tabs>
        <w:ind w:left="723" w:hanging="363"/>
      </w:pPr>
      <w:rPr/>
    </w:lvl>
    <w:lvl w:ilvl="1">
      <w:start w:val="1"/>
      <w:numFmt w:val="bullet"/>
      <w:lvlText w:val=""/>
      <w:lvlJc w:val="left"/>
      <w:pPr>
        <w:tabs>
          <w:tab w:val="num" w:pos="1950"/>
        </w:tabs>
        <w:ind w:left="1950" w:hanging="510"/>
      </w:pPr>
      <w:rPr>
        <w:rFonts w:ascii="Symbol" w:hAnsi="Symbol" w:cs="Symbol" w:hint="default"/>
        <w:color w:val="auto"/>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17">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rFonts w:ascii="Trebuchet MS" w:hAnsi="Trebuchet MS" w:eastAsia="Times New Roman" w:cs="Tahoma"/>
      </w:rPr>
    </w:lvl>
    <w:lvl w:ilvl="2">
      <w:start w:val="1"/>
      <w:numFmt w:val="decimal"/>
      <w:lvlText w:val="%3."/>
      <w:lvlJc w:val="left"/>
      <w:pPr>
        <w:tabs>
          <w:tab w:val="num" w:pos="1980"/>
        </w:tabs>
        <w:ind w:left="1980" w:hanging="360"/>
      </w:pPr>
      <w:rPr/>
    </w:lvl>
    <w:lvl w:ilvl="3">
      <w:start w:val="1"/>
      <w:numFmt w:val="lowerLetter"/>
      <w:lvlText w:val="%4)"/>
      <w:lvlJc w:val="left"/>
      <w:pPr>
        <w:tabs>
          <w:tab w:val="num" w:pos="2556"/>
        </w:tabs>
        <w:ind w:left="2500" w:hanging="34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8">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9">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0">
    <w:lvl w:ilvl="0">
      <w:start w:val="1"/>
      <w:numFmt w:val="decimal"/>
      <w:lvlText w:val="%1."/>
      <w:lvlJc w:val="left"/>
      <w:pPr>
        <w:tabs>
          <w:tab w:val="num" w:pos="360"/>
        </w:tabs>
        <w:ind w:left="36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1">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2">
    <w:lvl w:ilvl="0">
      <w:start w:val="1"/>
      <w:numFmt w:val="decimal"/>
      <w:lvlText w:val="%1."/>
      <w:lvlJc w:val="left"/>
      <w:pPr>
        <w:tabs>
          <w:tab w:val="num" w:pos="360"/>
        </w:tabs>
        <w:ind w:left="360" w:hanging="360"/>
      </w:pPr>
      <w:rPr>
        <w:sz w:val="18"/>
        <w:b w:val="false"/>
        <w:szCs w:val="18"/>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3">
    <w:lvl w:ilvl="0">
      <w:start w:val="1"/>
      <w:numFmt w:val="lowerLetter"/>
      <w:lvlText w:val="%1)"/>
      <w:lvlJc w:val="left"/>
      <w:pPr>
        <w:tabs>
          <w:tab w:val="num" w:pos="737"/>
        </w:tabs>
        <w:ind w:left="737" w:hanging="377"/>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24">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decimal"/>
      <w:lvlText w:val="%1."/>
      <w:lvlJc w:val="left"/>
      <w:pPr>
        <w:tabs>
          <w:tab w:val="num" w:pos="363"/>
        </w:tabs>
        <w:ind w:left="363" w:hanging="360"/>
      </w:pPr>
      <w:rPr>
        <w:i w:val="false"/>
        <w:b w:val="false"/>
      </w:rPr>
    </w:lvl>
    <w:lvl w:ilvl="1">
      <w:start w:val="1"/>
      <w:numFmt w:val="upperRoman"/>
      <w:lvlText w:val="%2."/>
      <w:lvlJc w:val="left"/>
      <w:pPr>
        <w:tabs>
          <w:tab w:val="num" w:pos="1420"/>
        </w:tabs>
        <w:ind w:left="1477" w:hanging="397"/>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6">
    <w:lvl w:ilvl="0">
      <w:start w:val="1"/>
      <w:numFmt w:val="decimal"/>
      <w:lvlText w:val="%1."/>
      <w:lvlJc w:val="left"/>
      <w:pPr>
        <w:tabs>
          <w:tab w:val="num" w:pos="363"/>
        </w:tabs>
        <w:ind w:left="363"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7">
    <w:lvl w:ilvl="0">
      <w:start w:val="1"/>
      <w:numFmt w:val="decimal"/>
      <w:lvlText w:val="%1."/>
      <w:lvlJc w:val="left"/>
      <w:pPr>
        <w:tabs>
          <w:tab w:val="num" w:pos="363"/>
        </w:tabs>
        <w:ind w:left="363" w:hanging="360"/>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8">
    <w:lvl w:ilvl="0">
      <w:start w:val="1"/>
      <w:numFmt w:val="decimal"/>
      <w:lvlText w:val="%1."/>
      <w:lvlJc w:val="left"/>
      <w:pPr>
        <w:tabs>
          <w:tab w:val="num" w:pos="363"/>
        </w:tabs>
        <w:ind w:left="363" w:hanging="360"/>
      </w:pPr>
      <w:rPr/>
    </w:lvl>
    <w:lvl w:ilvl="1">
      <w:start w:val="3"/>
      <w:numFmt w:val="upperRoman"/>
      <w:lvlText w:val="%2."/>
      <w:lvlJc w:val="left"/>
      <w:pPr>
        <w:tabs>
          <w:tab w:val="num" w:pos="1120"/>
        </w:tabs>
        <w:ind w:left="1120" w:hanging="397"/>
      </w:pPr>
      <w:rPr/>
    </w:lvl>
    <w:lvl w:ilvl="2">
      <w:start w:val="1"/>
      <w:numFmt w:val="decimal"/>
      <w:lvlText w:val="%3."/>
      <w:lvlJc w:val="left"/>
      <w:pPr>
        <w:tabs>
          <w:tab w:val="num" w:pos="2133"/>
        </w:tabs>
        <w:ind w:left="2133" w:hanging="510"/>
      </w:pPr>
      <w:rPr/>
    </w:lvl>
    <w:lvl w:ilvl="3">
      <w:start w:val="1"/>
      <w:numFmt w:val="decimal"/>
      <w:lvlText w:val="%4."/>
      <w:lvlJc w:val="left"/>
      <w:pPr>
        <w:tabs>
          <w:tab w:val="num" w:pos="2523"/>
        </w:tabs>
        <w:ind w:left="2523" w:hanging="360"/>
      </w:pPr>
      <w:rPr/>
    </w:lvl>
    <w:lvl w:ilvl="4">
      <w:start w:val="1"/>
      <w:numFmt w:val="lowerLetter"/>
      <w:lvlText w:val="%5."/>
      <w:lvlJc w:val="left"/>
      <w:pPr>
        <w:tabs>
          <w:tab w:val="num" w:pos="3243"/>
        </w:tabs>
        <w:ind w:left="3243" w:hanging="360"/>
      </w:pPr>
      <w:rPr/>
    </w:lvl>
    <w:lvl w:ilvl="5">
      <w:start w:val="1"/>
      <w:numFmt w:val="lowerRoman"/>
      <w:lvlText w:val="%6."/>
      <w:lvlJc w:val="right"/>
      <w:pPr>
        <w:tabs>
          <w:tab w:val="num" w:pos="3963"/>
        </w:tabs>
        <w:ind w:left="3963" w:hanging="180"/>
      </w:pPr>
      <w:rPr/>
    </w:lvl>
    <w:lvl w:ilvl="6">
      <w:start w:val="1"/>
      <w:numFmt w:val="decimal"/>
      <w:lvlText w:val="%7."/>
      <w:lvlJc w:val="left"/>
      <w:pPr>
        <w:tabs>
          <w:tab w:val="num" w:pos="4683"/>
        </w:tabs>
        <w:ind w:left="4683" w:hanging="360"/>
      </w:pPr>
      <w:rPr/>
    </w:lvl>
    <w:lvl w:ilvl="7">
      <w:start w:val="1"/>
      <w:numFmt w:val="lowerLetter"/>
      <w:lvlText w:val="%8."/>
      <w:lvlJc w:val="left"/>
      <w:pPr>
        <w:tabs>
          <w:tab w:val="num" w:pos="5403"/>
        </w:tabs>
        <w:ind w:left="5403" w:hanging="360"/>
      </w:pPr>
      <w:rPr/>
    </w:lvl>
    <w:lvl w:ilvl="8">
      <w:start w:val="1"/>
      <w:numFmt w:val="lowerRoman"/>
      <w:lvlText w:val="%9."/>
      <w:lvlJc w:val="right"/>
      <w:pPr>
        <w:tabs>
          <w:tab w:val="num" w:pos="6123"/>
        </w:tabs>
        <w:ind w:left="6123" w:hanging="180"/>
      </w:pPr>
      <w:rPr/>
    </w:lvl>
  </w:abstractNum>
  <w:abstractNum w:abstractNumId="29">
    <w:lvl w:ilvl="0">
      <w:start w:val="1"/>
      <w:numFmt w:val="decimal"/>
      <w:lvlText w:val="%1."/>
      <w:lvlJc w:val="left"/>
      <w:pPr>
        <w:tabs>
          <w:tab w:val="num" w:pos="360"/>
        </w:tabs>
        <w:ind w:left="360" w:hanging="360"/>
      </w:pPr>
      <w:rPr/>
    </w:lvl>
    <w:lvl w:ilvl="1">
      <w:start w:val="7"/>
      <w:numFmt w:val="upperRoman"/>
      <w:lvlText w:val="%2."/>
      <w:lvlJc w:val="left"/>
      <w:pPr>
        <w:tabs>
          <w:tab w:val="num" w:pos="1477"/>
        </w:tabs>
        <w:ind w:left="1477" w:hanging="397"/>
      </w:pPr>
      <w:rPr/>
    </w:lvl>
    <w:lvl w:ilvl="2">
      <w:start w:val="1"/>
      <w:numFmt w:val="decimal"/>
      <w:lvlText w:val="%3."/>
      <w:lvlJc w:val="left"/>
      <w:pPr>
        <w:tabs>
          <w:tab w:val="num" w:pos="2320"/>
        </w:tabs>
        <w:ind w:left="2320" w:hanging="340"/>
      </w:pPr>
      <w:rPr>
        <w:b w:val="false"/>
      </w:rPr>
    </w:lvl>
    <w:lvl w:ilvl="3">
      <w:start w:val="1"/>
      <w:numFmt w:val="lowerLetter"/>
      <w:lvlText w:val="%4."/>
      <w:lvlJc w:val="left"/>
      <w:pPr>
        <w:tabs>
          <w:tab w:val="num" w:pos="2917"/>
        </w:tabs>
        <w:ind w:left="2917" w:hanging="397"/>
      </w:pPr>
      <w:rPr>
        <w:rFonts w:cs="Arial"/>
      </w:rPr>
    </w:lvl>
    <w:lvl w:ilvl="4">
      <w:start w:val="1"/>
      <w:numFmt w:val="decimal"/>
      <w:lvlText w:val="%5."/>
      <w:lvlJc w:val="left"/>
      <w:pPr>
        <w:tabs>
          <w:tab w:val="num" w:pos="3750"/>
        </w:tabs>
        <w:ind w:left="3750" w:hanging="51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0">
    <w:lvl w:ilvl="0">
      <w:start w:val="1"/>
      <w:numFmt w:val="decimal"/>
      <w:lvlText w:val="%1."/>
      <w:lvlJc w:val="left"/>
      <w:pPr>
        <w:tabs>
          <w:tab w:val="num" w:pos="360"/>
        </w:tabs>
        <w:ind w:left="360" w:hanging="360"/>
      </w:pPr>
      <w:rPr>
        <w:sz w:val="18"/>
        <w:b w:val="false"/>
        <w:szCs w:val="18"/>
      </w:rPr>
    </w:lvl>
    <w:lvl w:ilvl="1">
      <w:start w:val="1"/>
      <w:numFmt w:val="lowerLetter"/>
      <w:lvlText w:val="%2)"/>
      <w:lvlJc w:val="left"/>
      <w:pPr>
        <w:tabs>
          <w:tab w:val="num" w:pos="1080"/>
        </w:tabs>
        <w:ind w:left="1080" w:hanging="360"/>
      </w:pPr>
      <w:rPr>
        <w:sz w:val="18"/>
        <w:szCs w:val="18"/>
        <w:rFonts w:ascii="Calibri" w:hAnsi="Calibri" w:cs="Calibri" w:asciiTheme="minorHAnsi" w:cstheme="minorHAnsi" w:hAnsiTheme="minorHAnsi"/>
      </w:rPr>
    </w:lvl>
    <w:lvl w:ilvl="2">
      <w:start w:val="1"/>
      <w:numFmt w:val="lowerRoman"/>
      <w:lvlText w:val="%3."/>
      <w:lvlJc w:val="right"/>
      <w:pPr>
        <w:tabs>
          <w:tab w:val="num" w:pos="1800"/>
        </w:tabs>
        <w:ind w:left="1800" w:hanging="180"/>
      </w:pPr>
      <w:rPr>
        <w:sz w:val="18"/>
        <w:rFonts w:ascii="Calibri" w:hAnsi="Calibri" w:cs="Calibri" w:asciiTheme="minorHAnsi" w:cstheme="minorHAnsi" w:hAnsiTheme="minorHAnsi"/>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1">
    <w:lvl w:ilvl="0">
      <w:start w:val="1"/>
      <w:numFmt w:val="lowerLetter"/>
      <w:lvlText w:val="%1)"/>
      <w:lvlJc w:val="left"/>
      <w:pPr>
        <w:tabs>
          <w:tab w:val="num" w:pos="1457"/>
        </w:tabs>
        <w:ind w:left="1457" w:hanging="377"/>
      </w:pPr>
      <w:rPr/>
    </w:lvl>
    <w:lvl w:ilvl="1">
      <w:start w:val="1"/>
      <w:numFmt w:val="lowerLetter"/>
      <w:lvlText w:val="%2."/>
      <w:lvlJc w:val="left"/>
      <w:pPr>
        <w:tabs>
          <w:tab w:val="num" w:pos="2520"/>
        </w:tabs>
        <w:ind w:left="2520" w:hanging="360"/>
      </w:pPr>
      <w:rPr/>
    </w:lvl>
    <w:lvl w:ilvl="2">
      <w:start w:val="1"/>
      <w:numFmt w:val="lowerRoman"/>
      <w:lvlText w:val="%3."/>
      <w:lvlJc w:val="right"/>
      <w:pPr>
        <w:tabs>
          <w:tab w:val="num" w:pos="3240"/>
        </w:tabs>
        <w:ind w:left="3240" w:hanging="180"/>
      </w:pPr>
      <w:rPr/>
    </w:lvl>
    <w:lvl w:ilvl="3">
      <w:start w:val="1"/>
      <w:numFmt w:val="decimal"/>
      <w:lvlText w:val="%4."/>
      <w:lvlJc w:val="left"/>
      <w:pPr>
        <w:tabs>
          <w:tab w:val="num" w:pos="3960"/>
        </w:tabs>
        <w:ind w:left="3960" w:hanging="360"/>
      </w:pPr>
      <w:rPr/>
    </w:lvl>
    <w:lvl w:ilvl="4">
      <w:start w:val="1"/>
      <w:numFmt w:val="lowerLetter"/>
      <w:lvlText w:val="%5."/>
      <w:lvlJc w:val="left"/>
      <w:pPr>
        <w:tabs>
          <w:tab w:val="num" w:pos="4680"/>
        </w:tabs>
        <w:ind w:left="4680" w:hanging="360"/>
      </w:pPr>
      <w:rPr/>
    </w:lvl>
    <w:lvl w:ilvl="5">
      <w:start w:val="1"/>
      <w:numFmt w:val="lowerRoman"/>
      <w:lvlText w:val="%6."/>
      <w:lvlJc w:val="right"/>
      <w:pPr>
        <w:tabs>
          <w:tab w:val="num" w:pos="5400"/>
        </w:tabs>
        <w:ind w:left="5400" w:hanging="180"/>
      </w:pPr>
      <w:rPr/>
    </w:lvl>
    <w:lvl w:ilvl="6">
      <w:start w:val="1"/>
      <w:numFmt w:val="decimal"/>
      <w:lvlText w:val="%7."/>
      <w:lvlJc w:val="left"/>
      <w:pPr>
        <w:tabs>
          <w:tab w:val="num" w:pos="6120"/>
        </w:tabs>
        <w:ind w:left="6120" w:hanging="360"/>
      </w:pPr>
      <w:rPr/>
    </w:lvl>
    <w:lvl w:ilvl="7">
      <w:start w:val="1"/>
      <w:numFmt w:val="lowerLetter"/>
      <w:lvlText w:val="%8."/>
      <w:lvlJc w:val="left"/>
      <w:pPr>
        <w:tabs>
          <w:tab w:val="num" w:pos="6840"/>
        </w:tabs>
        <w:ind w:left="6840" w:hanging="360"/>
      </w:pPr>
      <w:rPr/>
    </w:lvl>
    <w:lvl w:ilvl="8">
      <w:start w:val="1"/>
      <w:numFmt w:val="lowerRoman"/>
      <w:lvlText w:val="%9."/>
      <w:lvlJc w:val="right"/>
      <w:pPr>
        <w:tabs>
          <w:tab w:val="num" w:pos="7560"/>
        </w:tabs>
        <w:ind w:left="7560" w:hanging="180"/>
      </w:pPr>
      <w:rPr/>
    </w:lvl>
  </w:abstractNum>
  <w:abstractNum w:abstractNumId="32">
    <w:lvl w:ilvl="0">
      <w:start w:val="1"/>
      <w:numFmt w:val="upperRoman"/>
      <w:lvlText w:val="%1."/>
      <w:lvlJc w:val="left"/>
      <w:pPr>
        <w:tabs>
          <w:tab w:val="num" w:pos="340"/>
        </w:tabs>
        <w:ind w:left="397" w:hanging="397"/>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3">
    <w:lvl w:ilvl="0">
      <w:start w:val="1"/>
      <w:numFmt w:val="lowerLetter"/>
      <w:lvlText w:val="%1)"/>
      <w:lvlJc w:val="left"/>
      <w:pPr>
        <w:tabs>
          <w:tab w:val="num" w:pos="1080"/>
        </w:tabs>
        <w:ind w:left="1080" w:hanging="360"/>
      </w:pPr>
      <w:rPr/>
    </w:lvl>
    <w:lvl w:ilvl="1">
      <w:start w:val="1"/>
      <w:numFmt w:val="lowerLetter"/>
      <w:lvlText w:val="%2."/>
      <w:lvlJc w:val="left"/>
      <w:pPr>
        <w:tabs>
          <w:tab w:val="num" w:pos="0"/>
        </w:tabs>
        <w:ind w:left="-504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2880" w:hanging="360"/>
      </w:pPr>
      <w:rPr/>
    </w:lvl>
    <w:lvl w:ilvl="5">
      <w:start w:val="1"/>
      <w:numFmt w:val="lowerRoman"/>
      <w:lvlText w:val="%6."/>
      <w:lvlJc w:val="right"/>
      <w:pPr>
        <w:tabs>
          <w:tab w:val="num" w:pos="0"/>
        </w:tabs>
        <w:ind w:left="-2160" w:hanging="180"/>
      </w:pPr>
      <w:rPr/>
    </w:lvl>
    <w:lvl w:ilvl="6">
      <w:start w:val="1"/>
      <w:numFmt w:val="decimal"/>
      <w:lvlText w:val="%7."/>
      <w:lvlJc w:val="left"/>
      <w:pPr>
        <w:tabs>
          <w:tab w:val="num" w:pos="0"/>
        </w:tabs>
        <w:ind w:left="-1440" w:hanging="360"/>
      </w:pPr>
      <w:rPr/>
    </w:lvl>
    <w:lvl w:ilvl="7">
      <w:start w:val="1"/>
      <w:numFmt w:val="lowerLetter"/>
      <w:lvlText w:val="%8."/>
      <w:lvlJc w:val="left"/>
      <w:pPr>
        <w:tabs>
          <w:tab w:val="num" w:pos="0"/>
        </w:tabs>
        <w:ind w:left="-720" w:hanging="360"/>
      </w:pPr>
      <w:rPr/>
    </w:lvl>
    <w:lvl w:ilvl="8">
      <w:start w:val="1"/>
      <w:numFmt w:val="lowerRoman"/>
      <w:lvlText w:val="%9."/>
      <w:lvlJc w:val="right"/>
      <w:pPr>
        <w:tabs>
          <w:tab w:val="num" w:pos="0"/>
        </w:tabs>
        <w:ind w:left="0" w:hanging="180"/>
      </w:pPr>
      <w:rPr/>
    </w:lvl>
  </w:abstractNum>
  <w:abstractNum w:abstractNumId="34">
    <w:lvl w:ilvl="0">
      <w:start w:val="1"/>
      <w:numFmt w:val="lowerLetter"/>
      <w:lvlText w:val="%1)"/>
      <w:lvlJc w:val="left"/>
      <w:pPr>
        <w:tabs>
          <w:tab w:val="num" w:pos="1080"/>
        </w:tabs>
        <w:ind w:left="1080" w:hanging="360"/>
      </w:pPr>
      <w:rPr/>
    </w:lvl>
    <w:lvl w:ilvl="1">
      <w:start w:val="1"/>
      <w:numFmt w:val="lowerLetter"/>
      <w:lvlText w:val="%2."/>
      <w:lvlJc w:val="left"/>
      <w:pPr>
        <w:tabs>
          <w:tab w:val="num" w:pos="0"/>
        </w:tabs>
        <w:ind w:left="-504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2880" w:hanging="360"/>
      </w:pPr>
      <w:rPr/>
    </w:lvl>
    <w:lvl w:ilvl="5">
      <w:start w:val="1"/>
      <w:numFmt w:val="lowerRoman"/>
      <w:lvlText w:val="%6."/>
      <w:lvlJc w:val="right"/>
      <w:pPr>
        <w:tabs>
          <w:tab w:val="num" w:pos="0"/>
        </w:tabs>
        <w:ind w:left="-2160" w:hanging="180"/>
      </w:pPr>
      <w:rPr/>
    </w:lvl>
    <w:lvl w:ilvl="6">
      <w:start w:val="1"/>
      <w:numFmt w:val="decimal"/>
      <w:lvlText w:val="%7."/>
      <w:lvlJc w:val="left"/>
      <w:pPr>
        <w:tabs>
          <w:tab w:val="num" w:pos="0"/>
        </w:tabs>
        <w:ind w:left="-1440" w:hanging="360"/>
      </w:pPr>
      <w:rPr/>
    </w:lvl>
    <w:lvl w:ilvl="7">
      <w:start w:val="1"/>
      <w:numFmt w:val="lowerLetter"/>
      <w:lvlText w:val="%8."/>
      <w:lvlJc w:val="left"/>
      <w:pPr>
        <w:tabs>
          <w:tab w:val="num" w:pos="0"/>
        </w:tabs>
        <w:ind w:left="-720" w:hanging="360"/>
      </w:pPr>
      <w:rPr/>
    </w:lvl>
    <w:lvl w:ilvl="8">
      <w:start w:val="1"/>
      <w:numFmt w:val="lowerRoman"/>
      <w:lvlText w:val="%9."/>
      <w:lvlJc w:val="right"/>
      <w:pPr>
        <w:tabs>
          <w:tab w:val="num" w:pos="0"/>
        </w:tabs>
        <w:ind w:left="0" w:hanging="180"/>
      </w:pPr>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6">
    <w:lvl w:ilvl="0">
      <w:start w:val="1"/>
      <w:numFmt w:val="decimal"/>
      <w:lvlText w:val="%1."/>
      <w:lvlJc w:val="left"/>
      <w:pPr>
        <w:tabs>
          <w:tab w:val="num" w:pos="360"/>
        </w:tabs>
        <w:ind w:left="360" w:hanging="360"/>
      </w:pPr>
      <w:rPr>
        <w:b w:val="false"/>
      </w:rPr>
    </w:lvl>
    <w:lvl w:ilvl="1">
      <w:start w:val="1"/>
      <w:numFmt w:val="decimal"/>
      <w:lvlText w:val="%2."/>
      <w:lvlJc w:val="left"/>
      <w:pPr>
        <w:tabs>
          <w:tab w:val="num" w:pos="792"/>
        </w:tabs>
        <w:ind w:left="792" w:hanging="432"/>
      </w:pPr>
      <w:rPr>
        <w:b w:val="false"/>
        <w:rFonts w:ascii="Century Gothic" w:hAnsi="Century Gothic" w:eastAsia="Times New Roman" w:cs="Arial"/>
      </w:rPr>
    </w:lvl>
    <w:lvl w:ilvl="2">
      <w:start w:val="1"/>
      <w:numFmt w:val="lowerLetter"/>
      <w:lvlText w:val="%3)"/>
      <w:lvlJc w:val="left"/>
      <w:pPr>
        <w:tabs>
          <w:tab w:val="num" w:pos="1440"/>
        </w:tabs>
        <w:ind w:left="1224" w:hanging="504"/>
      </w:pPr>
      <w:rPr>
        <w:b w:val="false"/>
        <w:rFonts w:ascii="Century Gothic" w:hAnsi="Century Gothic" w:eastAsia="Times New Roman" w:cs="Arial"/>
      </w:rPr>
    </w:lvl>
    <w:lvl w:ilvl="3">
      <w:start w:val="1"/>
      <w:numFmt w:val="decimal"/>
      <w:lvlText w:val="%1.%2.%3.%4."/>
      <w:lvlJc w:val="left"/>
      <w:pPr>
        <w:tabs>
          <w:tab w:val="num" w:pos="180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37">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396"/>
        </w:tabs>
        <w:ind w:left="340" w:hanging="340"/>
      </w:pPr>
      <w:rPr/>
    </w:lvl>
    <w:lvl w:ilvl="2">
      <w:start w:val="1"/>
      <w:numFmt w:val="lowerRoman"/>
      <w:lvlText w:val="%3."/>
      <w:lvlJc w:val="right"/>
      <w:pPr>
        <w:tabs>
          <w:tab w:val="num" w:pos="1080"/>
        </w:tabs>
        <w:ind w:left="1080" w:hanging="18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520"/>
        </w:tabs>
        <w:ind w:left="2520" w:hanging="360"/>
      </w:pPr>
      <w:rPr/>
    </w:lvl>
    <w:lvl w:ilvl="5">
      <w:start w:val="1"/>
      <w:numFmt w:val="lowerRoman"/>
      <w:lvlText w:val="%6."/>
      <w:lvlJc w:val="right"/>
      <w:pPr>
        <w:tabs>
          <w:tab w:val="num" w:pos="3240"/>
        </w:tabs>
        <w:ind w:left="3240" w:hanging="180"/>
      </w:pPr>
      <w:rPr/>
    </w:lvl>
    <w:lvl w:ilvl="6">
      <w:start w:val="1"/>
      <w:numFmt w:val="decimal"/>
      <w:lvlText w:val="%7."/>
      <w:lvlJc w:val="left"/>
      <w:pPr>
        <w:tabs>
          <w:tab w:val="num" w:pos="3960"/>
        </w:tabs>
        <w:ind w:left="3960" w:hanging="360"/>
      </w:pPr>
      <w:rPr/>
    </w:lvl>
    <w:lvl w:ilvl="7">
      <w:start w:val="1"/>
      <w:numFmt w:val="lowerLetter"/>
      <w:lvlText w:val="%8."/>
      <w:lvlJc w:val="left"/>
      <w:pPr>
        <w:tabs>
          <w:tab w:val="num" w:pos="4680"/>
        </w:tabs>
        <w:ind w:left="4680" w:hanging="360"/>
      </w:pPr>
      <w:rPr/>
    </w:lvl>
    <w:lvl w:ilvl="8">
      <w:start w:val="1"/>
      <w:numFmt w:val="lowerRoman"/>
      <w:lvlText w:val="%9."/>
      <w:lvlJc w:val="right"/>
      <w:pPr>
        <w:tabs>
          <w:tab w:val="num" w:pos="5400"/>
        </w:tabs>
        <w:ind w:left="5400" w:hanging="180"/>
      </w:pPr>
      <w:rPr/>
    </w:lvl>
  </w:abstractNum>
  <w:abstractNum w:abstractNumId="3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9"/>
      <w:numFmt w:val="decimal"/>
      <w:lvlText w:val="%3."/>
      <w:lvlJc w:val="left"/>
      <w:pPr>
        <w:tabs>
          <w:tab w:val="num" w:pos="2340"/>
        </w:tabs>
        <w:ind w:left="2340" w:hanging="360"/>
      </w:pPr>
      <w:rPr/>
    </w:lvl>
    <w:lvl w:ilvl="3">
      <w:start w:val="1"/>
      <w:numFmt w:val="lowerLetter"/>
      <w:lvlText w:val="%4)"/>
      <w:lvlJc w:val="left"/>
      <w:pPr>
        <w:tabs>
          <w:tab w:val="num" w:pos="2880"/>
        </w:tabs>
        <w:ind w:left="2880" w:hanging="360"/>
      </w:pPr>
      <w:rPr/>
    </w:lvl>
    <w:lvl w:ilvl="4">
      <w:start w:val="7"/>
      <w:numFmt w:val="decimal"/>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9">
    <w:lvl w:ilvl="0">
      <w:start w:val="1"/>
      <w:numFmt w:val="lowerLetter"/>
      <w:lvlText w:val="%1)"/>
      <w:lvlJc w:val="left"/>
      <w:pPr>
        <w:tabs>
          <w:tab w:val="num" w:pos="927"/>
        </w:tabs>
        <w:ind w:left="870" w:hanging="510"/>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4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0" w:hanging="0"/>
      </w:pPr>
      <w:rPr>
        <w:i w:val="false"/>
        <w:b w:val="false"/>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4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1414"/>
        </w:tabs>
        <w:ind w:left="1414" w:hanging="705"/>
      </w:pPr>
      <w:rPr/>
    </w:lvl>
    <w:lvl w:ilvl="1">
      <w:start w:val="1"/>
      <w:numFmt w:val="lowerLetter"/>
      <w:lvlText w:val="%2)"/>
      <w:lvlJc w:val="left"/>
      <w:pPr>
        <w:tabs>
          <w:tab w:val="num" w:pos="1789"/>
        </w:tabs>
        <w:ind w:left="1789" w:hanging="360"/>
      </w:pPr>
      <w:rPr>
        <w:sz w:val="18"/>
        <w:b w:val="false"/>
        <w:szCs w:val="18"/>
        <w:rFonts w:ascii="Calibri" w:hAnsi="Calibri" w:cs="Arial"/>
        <w:color w:val="auto"/>
      </w:rPr>
    </w:lvl>
    <w:lvl w:ilvl="2">
      <w:start w:val="1"/>
      <w:numFmt w:val="upperLetter"/>
      <w:lvlText w:val="%3)"/>
      <w:lvlJc w:val="left"/>
      <w:pPr>
        <w:tabs>
          <w:tab w:val="num" w:pos="2689"/>
        </w:tabs>
        <w:ind w:left="2689" w:hanging="360"/>
      </w:pPr>
      <w:rPr/>
    </w:lvl>
    <w:lvl w:ilvl="3">
      <w:start w:val="1"/>
      <w:numFmt w:val="decimal"/>
      <w:lvlText w:val="%4."/>
      <w:lvlJc w:val="left"/>
      <w:pPr>
        <w:tabs>
          <w:tab w:val="num" w:pos="3229"/>
        </w:tabs>
        <w:ind w:left="3229" w:hanging="360"/>
      </w:pPr>
      <w:rPr/>
    </w:lvl>
    <w:lvl w:ilvl="4">
      <w:start w:val="1"/>
      <w:numFmt w:val="lowerLetter"/>
      <w:lvlText w:val="%5."/>
      <w:lvlJc w:val="left"/>
      <w:pPr>
        <w:tabs>
          <w:tab w:val="num" w:pos="3949"/>
        </w:tabs>
        <w:ind w:left="3949" w:hanging="360"/>
      </w:pPr>
      <w:rPr/>
    </w:lvl>
    <w:lvl w:ilvl="5">
      <w:start w:val="1"/>
      <w:numFmt w:val="lowerRoman"/>
      <w:lvlText w:val="%6."/>
      <w:lvlJc w:val="right"/>
      <w:pPr>
        <w:tabs>
          <w:tab w:val="num" w:pos="4669"/>
        </w:tabs>
        <w:ind w:left="4669" w:hanging="180"/>
      </w:pPr>
      <w:rPr/>
    </w:lvl>
    <w:lvl w:ilvl="6">
      <w:start w:val="1"/>
      <w:numFmt w:val="decimal"/>
      <w:lvlText w:val="%7."/>
      <w:lvlJc w:val="left"/>
      <w:pPr>
        <w:tabs>
          <w:tab w:val="num" w:pos="5389"/>
        </w:tabs>
        <w:ind w:left="5389" w:hanging="360"/>
      </w:pPr>
      <w:rPr/>
    </w:lvl>
    <w:lvl w:ilvl="7">
      <w:start w:val="1"/>
      <w:numFmt w:val="lowerLetter"/>
      <w:lvlText w:val="%8."/>
      <w:lvlJc w:val="left"/>
      <w:pPr>
        <w:tabs>
          <w:tab w:val="num" w:pos="6109"/>
        </w:tabs>
        <w:ind w:left="6109" w:hanging="360"/>
      </w:pPr>
      <w:rPr/>
    </w:lvl>
    <w:lvl w:ilvl="8">
      <w:start w:val="1"/>
      <w:numFmt w:val="lowerRoman"/>
      <w:lvlText w:val="%9."/>
      <w:lvlJc w:val="right"/>
      <w:pPr>
        <w:tabs>
          <w:tab w:val="num" w:pos="6829"/>
        </w:tabs>
        <w:ind w:left="6829" w:hanging="180"/>
      </w:pPr>
      <w:rPr/>
    </w:lvl>
  </w:abstractNum>
  <w:abstractNum w:abstractNumId="4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7">
    <w:lvl w:ilvl="0">
      <w:start w:val="1"/>
      <w:numFmt w:val="decimal"/>
      <w:lvlText w:val="%1."/>
      <w:lvlJc w:val="left"/>
      <w:pPr>
        <w:tabs>
          <w:tab w:val="num" w:pos="363"/>
        </w:tabs>
        <w:ind w:left="363" w:hanging="360"/>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lvl w:ilvl="0">
      <w:start w:val="1"/>
      <w:numFmt w:val="decimal"/>
      <w:lvlText w:val="%1."/>
      <w:lvlJc w:val="left"/>
      <w:pPr>
        <w:tabs>
          <w:tab w:val="num" w:pos="0"/>
        </w:tabs>
        <w:ind w:left="1287"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56">
    <w:lvl w:ilvl="0">
      <w:start w:val="1"/>
      <w:numFmt w:val="decimal"/>
      <w:lvlText w:val="%1."/>
      <w:lvlJc w:val="left"/>
      <w:pPr>
        <w:tabs>
          <w:tab w:val="num" w:pos="0"/>
        </w:tabs>
        <w:ind w:left="1287"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7">
    <w:lvl w:ilvl="0">
      <w:start w:val="1"/>
      <w:numFmt w:val="decimal"/>
      <w:lvlText w:val="%1."/>
      <w:lvlJc w:val="left"/>
      <w:pPr>
        <w:tabs>
          <w:tab w:val="num" w:pos="0"/>
        </w:tabs>
        <w:ind w:left="1287"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8">
    <w:lvl w:ilvl="0">
      <w:start w:val="1"/>
      <w:numFmt w:val="decimal"/>
      <w:lvlText w:val="%1."/>
      <w:lvlJc w:val="left"/>
      <w:pPr>
        <w:tabs>
          <w:tab w:val="num" w:pos="0"/>
        </w:tabs>
        <w:ind w:left="1287"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decimal"/>
      <w:lvlText w:val="%1."/>
      <w:lvlJc w:val="left"/>
      <w:pPr>
        <w:tabs>
          <w:tab w:val="num" w:pos="0"/>
        </w:tabs>
        <w:ind w:left="1287"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decimal"/>
      <w:lvlText w:val="%1."/>
      <w:lvlJc w:val="left"/>
      <w:pPr>
        <w:tabs>
          <w:tab w:val="num" w:pos="0"/>
        </w:tabs>
        <w:ind w:left="1287"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decimal"/>
      <w:lvlText w:val="%1."/>
      <w:lvlJc w:val="left"/>
      <w:pPr>
        <w:tabs>
          <w:tab w:val="num" w:pos="363"/>
        </w:tabs>
        <w:ind w:left="363" w:hanging="360"/>
      </w:pPr>
      <w:rPr>
        <w:sz w:val="18"/>
        <w:i w:val="false"/>
        <w:b w:val="false"/>
        <w:szCs w:val="20"/>
        <w:rFonts w:ascii="Calibri" w:hAnsi="Calibri" w:cs="Century Gothic" w:asciiTheme="minorHAnsi" w:hAnsiTheme="minorHAnsi"/>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2">
    <w:lvl w:ilvl="0">
      <w:start w:val="1"/>
      <w:numFmt w:val="lowerLetter"/>
      <w:lvlText w:val="%1)"/>
      <w:lvlJc w:val="left"/>
      <w:pPr>
        <w:tabs>
          <w:tab w:val="num" w:pos="0"/>
        </w:tabs>
        <w:ind w:left="1080" w:hanging="360"/>
      </w:pPr>
      <w:rPr>
        <w:sz w:val="18"/>
        <w:rFonts w:ascii="Calibri" w:hAnsi="Calibri" w:cs="Calibri" w:asciiTheme="minorHAnsi" w:cstheme="minorHAnsi" w:hAnsiTheme="minorHAnsi"/>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3">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4">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5">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6">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7">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8">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9">
    <w:lvl w:ilvl="0">
      <w:start w:val="1"/>
      <w:numFmt w:val="decimal"/>
      <w:lvlText w:val="%1."/>
      <w:lvlJc w:val="left"/>
      <w:pPr>
        <w:tabs>
          <w:tab w:val="num" w:pos="0"/>
        </w:tabs>
        <w:ind w:left="720" w:hanging="360"/>
      </w:pPr>
      <w:rPr>
        <w:sz w:val="18"/>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0">
    <w:lvl w:ilvl="0">
      <w:start w:val="1"/>
      <w:numFmt w:val="decimal"/>
      <w:lvlText w:val="%1."/>
      <w:lvlJc w:val="left"/>
      <w:pPr>
        <w:tabs>
          <w:tab w:val="num" w:pos="360"/>
        </w:tabs>
        <w:ind w:left="360" w:hanging="360"/>
      </w:pPr>
      <w:rPr>
        <w:sz w:val="18"/>
        <w:b w:val="false"/>
        <w:szCs w:val="18"/>
        <w:rFonts w:ascii="Calibri" w:hAnsi="Calibri" w:cs="Calibr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1">
    <w:lvl w:ilvl="0">
      <w:start w:val="1"/>
      <w:numFmt w:val="decimal"/>
      <w:lvlText w:val="%1."/>
      <w:lvlJc w:val="left"/>
      <w:pPr>
        <w:tabs>
          <w:tab w:val="num" w:pos="0"/>
        </w:tabs>
        <w:ind w:left="0" w:hanging="0"/>
      </w:pPr>
      <w:rPr>
        <w:i w:val="false"/>
        <w:b w:val="false"/>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7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1"/>
    <w:lvlOverride w:ilvl="0">
      <w:startOverride w:val="1"/>
    </w:lvlOverride>
  </w:num>
  <w:num w:numId="74">
    <w:abstractNumId w:val="71"/>
  </w:num>
  <w:num w:numId="75">
    <w:abstractNumId w:val="71"/>
  </w:num>
  <w:num w:numId="76">
    <w:abstractNumId w:val="71"/>
  </w:num>
  <w:num w:numId="77">
    <w:abstractNumId w:val="71"/>
  </w:num>
  <w:num w:numId="78">
    <w:abstractNumId w:val="71"/>
  </w:num>
  <w:num w:numId="79">
    <w:abstractNumId w:val="71"/>
  </w:num>
  <w:num w:numId="80">
    <w:abstractNumId w:val="71"/>
  </w:num>
  <w:num w:numId="81">
    <w:abstractNumId w:val="71"/>
  </w:num>
  <w:num w:numId="82">
    <w:abstractNumId w:val="71"/>
  </w:num>
  <w:num w:numId="83">
    <w:abstractNumId w:val="71"/>
  </w:num>
  <w:num w:numId="84">
    <w:abstractNumId w:val="71"/>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5440"/>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pPr>
      <w:keepNext w:val="true"/>
      <w:spacing w:before="240" w:after="60"/>
      <w:outlineLvl w:val="0"/>
    </w:pPr>
    <w:rPr>
      <w:rFonts w:ascii="Arial" w:hAnsi="Arial" w:cs="Arial"/>
      <w:b/>
      <w:bCs/>
      <w:kern w:val="2"/>
      <w:sz w:val="32"/>
      <w:szCs w:val="32"/>
    </w:rPr>
  </w:style>
  <w:style w:type="paragraph" w:styleId="Nagwek2">
    <w:name w:val="Heading 2"/>
    <w:basedOn w:val="Normal"/>
    <w:next w:val="Normal"/>
    <w:qFormat/>
    <w:pPr>
      <w:keepNext w:val="true"/>
      <w:tabs>
        <w:tab w:val="clear" w:pos="709"/>
        <w:tab w:val="left" w:pos="-567" w:leader="none"/>
      </w:tabs>
      <w:spacing w:before="240" w:after="240"/>
      <w:jc w:val="both"/>
      <w:outlineLvl w:val="1"/>
    </w:pPr>
    <w:rPr>
      <w:rFonts w:ascii="Arial" w:hAnsi="Arial" w:cs="Arial"/>
      <w:b/>
      <w:bCs/>
      <w:i/>
      <w:iCs/>
      <w:szCs w:val="20"/>
    </w:rPr>
  </w:style>
  <w:style w:type="paragraph" w:styleId="Nagwek3">
    <w:name w:val="Heading 3"/>
    <w:basedOn w:val="Normal"/>
    <w:next w:val="Normal"/>
    <w:qFormat/>
    <w:pPr>
      <w:keepNext w:val="true"/>
      <w:outlineLvl w:val="2"/>
    </w:pPr>
    <w:rPr>
      <w:rFonts w:ascii="Trebuchet MS" w:hAnsi="Trebuchet MS"/>
      <w:b/>
      <w:bCs/>
    </w:rPr>
  </w:style>
  <w:style w:type="paragraph" w:styleId="Nagwek4">
    <w:name w:val="Heading 4"/>
    <w:basedOn w:val="Normal"/>
    <w:next w:val="Normal"/>
    <w:qFormat/>
    <w:pPr>
      <w:keepNext w:val="true"/>
      <w:spacing w:before="0" w:after="120"/>
      <w:jc w:val="center"/>
      <w:outlineLvl w:val="3"/>
    </w:pPr>
    <w:rPr>
      <w:rFonts w:ascii="Tahoma" w:hAnsi="Tahoma" w:cs="Tahoma"/>
      <w:b/>
      <w:sz w:val="22"/>
      <w:szCs w:val="22"/>
    </w:rPr>
  </w:style>
  <w:style w:type="paragraph" w:styleId="Nagwek5">
    <w:name w:val="Heading 5"/>
    <w:basedOn w:val="Normal"/>
    <w:next w:val="Normal"/>
    <w:qFormat/>
    <w:pPr>
      <w:keepNext w:val="true"/>
      <w:outlineLvl w:val="4"/>
    </w:pPr>
    <w:rPr>
      <w:rFonts w:ascii="Tahoma" w:hAnsi="Tahoma" w:cs="Tahoma"/>
      <w:b/>
      <w:bCs/>
      <w:sz w:val="22"/>
    </w:rPr>
  </w:style>
  <w:style w:type="paragraph" w:styleId="Nagwek6">
    <w:name w:val="Heading 6"/>
    <w:basedOn w:val="Normal"/>
    <w:next w:val="Normal"/>
    <w:link w:val="Nagwek6Znak"/>
    <w:qFormat/>
    <w:rsid w:val="00182c9d"/>
    <w:pPr>
      <w:tabs>
        <w:tab w:val="clear" w:pos="709"/>
        <w:tab w:val="left" w:pos="1152" w:leader="none"/>
      </w:tabs>
      <w:spacing w:lineRule="auto" w:line="360" w:before="240" w:after="60"/>
      <w:ind w:left="1152" w:hanging="1152"/>
      <w:jc w:val="both"/>
      <w:outlineLvl w:val="5"/>
    </w:pPr>
    <w:rPr>
      <w:b/>
      <w:bCs/>
      <w:sz w:val="22"/>
      <w:szCs w:val="22"/>
    </w:rPr>
  </w:style>
  <w:style w:type="paragraph" w:styleId="Nagwek7">
    <w:name w:val="Heading 7"/>
    <w:basedOn w:val="Normal"/>
    <w:next w:val="Normal"/>
    <w:link w:val="Nagwek7Znak"/>
    <w:qFormat/>
    <w:rsid w:val="00182c9d"/>
    <w:pPr>
      <w:tabs>
        <w:tab w:val="clear" w:pos="709"/>
        <w:tab w:val="left" w:pos="1296" w:leader="none"/>
      </w:tabs>
      <w:spacing w:lineRule="auto" w:line="360" w:before="240" w:after="60"/>
      <w:ind w:left="1296" w:hanging="1296"/>
      <w:jc w:val="both"/>
      <w:outlineLvl w:val="6"/>
    </w:pPr>
    <w:rPr/>
  </w:style>
  <w:style w:type="paragraph" w:styleId="Nagwek8">
    <w:name w:val="Heading 8"/>
    <w:basedOn w:val="Normal"/>
    <w:next w:val="Normal"/>
    <w:link w:val="Nagwek8Znak"/>
    <w:qFormat/>
    <w:rsid w:val="00182c9d"/>
    <w:pPr>
      <w:tabs>
        <w:tab w:val="clear" w:pos="709"/>
        <w:tab w:val="left" w:pos="1440" w:leader="none"/>
      </w:tabs>
      <w:spacing w:lineRule="auto" w:line="360" w:before="240" w:after="60"/>
      <w:ind w:left="1440" w:hanging="1440"/>
      <w:jc w:val="both"/>
      <w:outlineLvl w:val="7"/>
    </w:pPr>
    <w:rPr>
      <w:i/>
      <w:iCs/>
    </w:rPr>
  </w:style>
  <w:style w:type="paragraph" w:styleId="Nagwek9">
    <w:name w:val="Heading 9"/>
    <w:basedOn w:val="Normal"/>
    <w:next w:val="Normal"/>
    <w:link w:val="Nagwek9Znak"/>
    <w:qFormat/>
    <w:rsid w:val="00182c9d"/>
    <w:pPr>
      <w:tabs>
        <w:tab w:val="clear" w:pos="709"/>
        <w:tab w:val="left" w:pos="2880" w:leader="none"/>
      </w:tabs>
      <w:spacing w:lineRule="auto" w:line="360" w:before="240" w:after="60"/>
      <w:ind w:left="1584" w:hanging="1584"/>
      <w:jc w:val="both"/>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Czeinternetowe">
    <w:name w:val="Hyperlink"/>
    <w:rPr>
      <w:color w:val="0000FF"/>
      <w:u w:val="single"/>
    </w:rPr>
  </w:style>
  <w:style w:type="character" w:styleId="Wyrnienie">
    <w:name w:val="Emphasis"/>
    <w:qFormat/>
    <w:rPr>
      <w:i/>
      <w:iCs/>
    </w:rPr>
  </w:style>
  <w:style w:type="character" w:styleId="Pagenumber">
    <w:name w:val="page number"/>
    <w:basedOn w:val="DefaultParagraphFont"/>
    <w:qFormat/>
    <w:rPr/>
  </w:style>
  <w:style w:type="character" w:styleId="Annotationreference">
    <w:name w:val="annotation reference"/>
    <w:uiPriority w:val="99"/>
    <w:semiHidden/>
    <w:qFormat/>
    <w:rsid w:val="00e2193f"/>
    <w:rPr>
      <w:sz w:val="16"/>
      <w:szCs w:val="16"/>
    </w:rPr>
  </w:style>
  <w:style w:type="character" w:styleId="Znakiprzypiswdolnych">
    <w:name w:val="Znaki przypisów dolnych"/>
    <w:semiHidden/>
    <w:qFormat/>
    <w:rsid w:val="001a65e3"/>
    <w:rPr>
      <w:vertAlign w:val="superscript"/>
    </w:rPr>
  </w:style>
  <w:style w:type="character" w:styleId="Zakotwiczenieprzypisudolnego">
    <w:name w:val="Footnote Reference"/>
    <w:rPr>
      <w:vertAlign w:val="superscript"/>
    </w:rPr>
  </w:style>
  <w:style w:type="character" w:styleId="Nagwek6Znak" w:customStyle="1">
    <w:name w:val="Nagłówek 6 Znak"/>
    <w:qFormat/>
    <w:rsid w:val="00182c9d"/>
    <w:rPr>
      <w:b/>
      <w:bCs/>
      <w:sz w:val="22"/>
      <w:szCs w:val="22"/>
    </w:rPr>
  </w:style>
  <w:style w:type="character" w:styleId="Nagwek7Znak" w:customStyle="1">
    <w:name w:val="Nagłówek 7 Znak"/>
    <w:qFormat/>
    <w:rsid w:val="00182c9d"/>
    <w:rPr>
      <w:sz w:val="24"/>
      <w:szCs w:val="24"/>
    </w:rPr>
  </w:style>
  <w:style w:type="character" w:styleId="Nagwek8Znak" w:customStyle="1">
    <w:name w:val="Nagłówek 8 Znak"/>
    <w:qFormat/>
    <w:rsid w:val="00182c9d"/>
    <w:rPr>
      <w:i/>
      <w:iCs/>
      <w:sz w:val="24"/>
      <w:szCs w:val="24"/>
    </w:rPr>
  </w:style>
  <w:style w:type="character" w:styleId="Nagwek9Znak" w:customStyle="1">
    <w:name w:val="Nagłówek 9 Znak"/>
    <w:qFormat/>
    <w:rsid w:val="00182c9d"/>
    <w:rPr>
      <w:rFonts w:ascii="Arial" w:hAnsi="Arial" w:cs="Arial"/>
      <w:sz w:val="22"/>
      <w:szCs w:val="22"/>
    </w:rPr>
  </w:style>
  <w:style w:type="character" w:styleId="TekstkomentarzaZnak" w:customStyle="1">
    <w:name w:val="Tekst komentarza Znak"/>
    <w:basedOn w:val="DefaultParagraphFont"/>
    <w:link w:val="Annotationtext"/>
    <w:uiPriority w:val="99"/>
    <w:semiHidden/>
    <w:qFormat/>
    <w:rsid w:val="003e2a7d"/>
    <w:rPr/>
  </w:style>
  <w:style w:type="character" w:styleId="AkapitzlistZnak" w:customStyle="1">
    <w:name w:val="Akapit z listą Znak"/>
    <w:link w:val="ListParagraph"/>
    <w:uiPriority w:val="99"/>
    <w:qFormat/>
    <w:locked/>
    <w:rsid w:val="003e2a7d"/>
    <w:rPr>
      <w:sz w:val="24"/>
      <w:szCs w:val="24"/>
    </w:rPr>
  </w:style>
  <w:style w:type="character" w:styleId="ZwykytekstZnak" w:customStyle="1">
    <w:name w:val="Zwykły tekst Znak"/>
    <w:link w:val="PlainText"/>
    <w:uiPriority w:val="99"/>
    <w:qFormat/>
    <w:rsid w:val="00e31a87"/>
    <w:rPr>
      <w:rFonts w:ascii="Calibri" w:hAnsi="Calibri" w:eastAsia="Calibri"/>
      <w:color w:val="1F497D"/>
      <w:sz w:val="22"/>
      <w:szCs w:val="21"/>
      <w:lang w:val="x-none" w:eastAsia="en-US"/>
    </w:rPr>
  </w:style>
  <w:style w:type="character" w:styleId="UnresolvedMention">
    <w:name w:val="Unresolved Mention"/>
    <w:basedOn w:val="DefaultParagraphFont"/>
    <w:uiPriority w:val="99"/>
    <w:semiHidden/>
    <w:unhideWhenUsed/>
    <w:qFormat/>
    <w:rsid w:val="005538e1"/>
    <w:rPr>
      <w:color w:val="605E5C"/>
      <w:shd w:fill="E1DFDD" w:val="clear"/>
    </w:rPr>
  </w:style>
  <w:style w:type="character" w:styleId="NagwekZnak" w:customStyle="1">
    <w:name w:val="Nagłówek Znak"/>
    <w:basedOn w:val="DefaultParagraphFont"/>
    <w:uiPriority w:val="99"/>
    <w:qFormat/>
    <w:rsid w:val="00767d82"/>
    <w:rPr>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rPr>
      <w:rFonts w:ascii="Tahoma" w:hAnsi="Tahoma" w:cs="Tahoma"/>
      <w:sz w:val="22"/>
    </w:rPr>
  </w:style>
  <w:style w:type="paragraph" w:styleId="Lista">
    <w:name w:val="List"/>
    <w:basedOn w:val="Normal"/>
    <w:rsid w:val="0045148a"/>
    <w:pPr>
      <w:widowControl w:val="false"/>
      <w:suppressAutoHyphens w:val="true"/>
      <w:ind w:left="283" w:hanging="283"/>
    </w:pPr>
    <w:rPr>
      <w:rFonts w:ascii="Tahoma" w:hAnsi="Tahoma"/>
      <w:sz w:val="20"/>
      <w:szCs w:val="20"/>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qFormat/>
    <w:pPr>
      <w:jc w:val="center"/>
    </w:pPr>
    <w:rPr>
      <w:rFonts w:ascii="Tahoma" w:hAnsi="Tahoma" w:cs="Tahoma"/>
      <w:b/>
      <w:bCs/>
      <w:sz w:val="22"/>
    </w:rPr>
  </w:style>
  <w:style w:type="paragraph" w:styleId="Standard" w:customStyle="1">
    <w:name w:val="Standard"/>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n-GB" w:eastAsia="pl-PL" w:bidi="ar-SA"/>
    </w:rPr>
  </w:style>
  <w:style w:type="paragraph" w:styleId="NormalWeb">
    <w:name w:val="Normal (Web)"/>
    <w:basedOn w:val="Normal"/>
    <w:qFormat/>
    <w:pPr>
      <w:spacing w:beforeAutospacing="1" w:afterAutospacing="1"/>
    </w:pPr>
    <w:rPr/>
  </w:style>
  <w:style w:type="paragraph" w:styleId="Gwkaistopka">
    <w:name w:val="Główka i stopka"/>
    <w:basedOn w:val="Normal"/>
    <w:qFormat/>
    <w:pPr/>
    <w:rPr/>
  </w:style>
  <w:style w:type="paragraph" w:styleId="Stopka">
    <w:name w:val="Footer"/>
    <w:basedOn w:val="Normal"/>
    <w:pPr>
      <w:tabs>
        <w:tab w:val="clear" w:pos="709"/>
        <w:tab w:val="center" w:pos="4536" w:leader="none"/>
        <w:tab w:val="right" w:pos="9072" w:leader="none"/>
      </w:tabs>
    </w:pPr>
    <w:rPr/>
  </w:style>
  <w:style w:type="paragraph" w:styleId="Podstawowy" w:customStyle="1">
    <w:name w:val="Podstawowy"/>
    <w:basedOn w:val="Normal"/>
    <w:qFormat/>
    <w:pPr>
      <w:spacing w:lineRule="auto" w:line="288" w:before="120" w:after="120"/>
      <w:ind w:left="357" w:hanging="0"/>
    </w:pPr>
    <w:rPr>
      <w:rFonts w:ascii="Trebuchet MS" w:hAnsi="Trebuchet MS"/>
    </w:rPr>
  </w:style>
  <w:style w:type="paragraph" w:styleId="Wcicietrecitekstu">
    <w:name w:val="Body Text Indent"/>
    <w:basedOn w:val="Normal"/>
    <w:pPr>
      <w:ind w:left="360" w:hanging="0"/>
    </w:pPr>
    <w:rPr/>
  </w:style>
  <w:style w:type="paragraph" w:styleId="Spistreci1">
    <w:name w:val="TOC 1"/>
    <w:basedOn w:val="Normal"/>
    <w:next w:val="Normal"/>
    <w:autoRedefine/>
    <w:semiHidden/>
    <w:pPr>
      <w:spacing w:before="120" w:after="120"/>
    </w:pPr>
    <w:rPr>
      <w:rFonts w:ascii="Arial" w:hAnsi="Arial"/>
      <w:b/>
    </w:rPr>
  </w:style>
  <w:style w:type="paragraph" w:styleId="BodyText2">
    <w:name w:val="Body Text 2"/>
    <w:basedOn w:val="Normal"/>
    <w:qFormat/>
    <w:pPr>
      <w:jc w:val="both"/>
    </w:pPr>
    <w:rPr>
      <w:rFonts w:ascii="Tahoma" w:hAnsi="Tahoma" w:cs="Tahoma"/>
      <w:sz w:val="22"/>
      <w:szCs w:val="22"/>
    </w:rPr>
  </w:style>
  <w:style w:type="paragraph" w:styleId="S2" w:customStyle="1">
    <w:name w:val="s2"/>
    <w:basedOn w:val="Normal"/>
    <w:qFormat/>
    <w:pPr>
      <w:spacing w:beforeAutospacing="1" w:afterAutospacing="1"/>
    </w:pPr>
    <w:rPr>
      <w:b/>
      <w:bCs/>
      <w:color w:val="737573"/>
    </w:rPr>
  </w:style>
  <w:style w:type="paragraph" w:styleId="Gwka">
    <w:name w:val="Header"/>
    <w:basedOn w:val="Normal"/>
    <w:link w:val="NagwekZnak"/>
    <w:uiPriority w:val="99"/>
    <w:pPr>
      <w:tabs>
        <w:tab w:val="clear" w:pos="709"/>
        <w:tab w:val="center" w:pos="4536" w:leader="none"/>
        <w:tab w:val="right" w:pos="9072" w:leader="none"/>
      </w:tabs>
    </w:pPr>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widowControl w:val="false"/>
      <w:ind w:left="284" w:hanging="284"/>
      <w:jc w:val="both"/>
    </w:pPr>
    <w:rPr>
      <w:szCs w:val="20"/>
    </w:rPr>
  </w:style>
  <w:style w:type="paragraph" w:styleId="BodyTextIndent3">
    <w:name w:val="Body Text Indent 3"/>
    <w:basedOn w:val="Normal"/>
    <w:qFormat/>
    <w:pPr>
      <w:spacing w:before="0" w:after="120"/>
      <w:ind w:left="283" w:hanging="0"/>
    </w:pPr>
    <w:rPr>
      <w:sz w:val="16"/>
      <w:szCs w:val="16"/>
    </w:rPr>
  </w:style>
  <w:style w:type="paragraph" w:styleId="BalloonText">
    <w:name w:val="Balloon Text"/>
    <w:basedOn w:val="Normal"/>
    <w:semiHidden/>
    <w:qFormat/>
    <w:pPr/>
    <w:rPr>
      <w:rFonts w:ascii="Tahoma" w:hAnsi="Tahoma" w:cs="Tahoma"/>
      <w:sz w:val="16"/>
      <w:szCs w:val="16"/>
    </w:rPr>
  </w:style>
  <w:style w:type="paragraph" w:styleId="Lista21" w:customStyle="1">
    <w:name w:val="Lista 21"/>
    <w:basedOn w:val="Normal"/>
    <w:qFormat/>
    <w:rsid w:val="0045148a"/>
    <w:pPr>
      <w:widowControl w:val="false"/>
      <w:suppressAutoHyphens w:val="true"/>
      <w:ind w:left="566" w:hanging="283"/>
    </w:pPr>
    <w:rPr>
      <w:rFonts w:ascii="Tahoma" w:hAnsi="Tahoma"/>
      <w:sz w:val="20"/>
      <w:szCs w:val="20"/>
    </w:rPr>
  </w:style>
  <w:style w:type="paragraph" w:styleId="Lista31" w:customStyle="1">
    <w:name w:val="Lista 31"/>
    <w:basedOn w:val="Normal"/>
    <w:qFormat/>
    <w:rsid w:val="0045148a"/>
    <w:pPr>
      <w:widowControl w:val="false"/>
      <w:suppressAutoHyphens w:val="true"/>
      <w:ind w:left="849" w:hanging="283"/>
    </w:pPr>
    <w:rPr>
      <w:rFonts w:ascii="Tahoma" w:hAnsi="Tahoma"/>
      <w:sz w:val="20"/>
      <w:szCs w:val="20"/>
    </w:rPr>
  </w:style>
  <w:style w:type="paragraph" w:styleId="Lista41" w:customStyle="1">
    <w:name w:val="Lista 41"/>
    <w:basedOn w:val="Normal"/>
    <w:qFormat/>
    <w:rsid w:val="0045148a"/>
    <w:pPr>
      <w:widowControl w:val="false"/>
      <w:suppressAutoHyphens w:val="true"/>
      <w:ind w:left="1132" w:hanging="283"/>
    </w:pPr>
    <w:rPr>
      <w:rFonts w:ascii="Tahoma" w:hAnsi="Tahoma"/>
      <w:sz w:val="20"/>
      <w:szCs w:val="20"/>
    </w:rPr>
  </w:style>
  <w:style w:type="paragraph" w:styleId="Lista51" w:customStyle="1">
    <w:name w:val="Lista 51"/>
    <w:basedOn w:val="Normal"/>
    <w:qFormat/>
    <w:rsid w:val="0045148a"/>
    <w:pPr>
      <w:widowControl w:val="false"/>
      <w:suppressAutoHyphens w:val="true"/>
      <w:ind w:left="1415" w:hanging="283"/>
    </w:pPr>
    <w:rPr>
      <w:rFonts w:ascii="Tahoma" w:hAnsi="Tahoma"/>
      <w:sz w:val="20"/>
      <w:szCs w:val="20"/>
    </w:rPr>
  </w:style>
  <w:style w:type="paragraph" w:styleId="Listawypunktowana2" w:customStyle="1">
    <w:name w:val="Lista wypunktowana 2"/>
    <w:qFormat/>
    <w:rsid w:val="0045148a"/>
    <w:pPr>
      <w:widowControl w:val="false"/>
      <w:tabs>
        <w:tab w:val="clear" w:pos="709"/>
        <w:tab w:val="left" w:pos="1286" w:leader="none"/>
      </w:tabs>
      <w:suppressAutoHyphens w:val="true"/>
      <w:bidi w:val="0"/>
      <w:spacing w:before="0" w:after="0"/>
      <w:ind w:left="360" w:hanging="360"/>
      <w:jc w:val="left"/>
    </w:pPr>
    <w:rPr>
      <w:rFonts w:ascii="Tahoma" w:hAnsi="Tahoma" w:eastAsia="Times New Roman" w:cs="Times New Roman"/>
      <w:color w:val="auto"/>
      <w:kern w:val="0"/>
      <w:sz w:val="20"/>
      <w:szCs w:val="20"/>
      <w:lang w:val="pl-PL" w:eastAsia="pl-PL" w:bidi="ar-SA"/>
    </w:rPr>
  </w:style>
  <w:style w:type="paragraph" w:styleId="Listawypunktowana3" w:customStyle="1">
    <w:name w:val="Lista wypunktowana 3"/>
    <w:qFormat/>
    <w:rsid w:val="0045148a"/>
    <w:pPr>
      <w:widowControl w:val="false"/>
      <w:tabs>
        <w:tab w:val="clear" w:pos="709"/>
        <w:tab w:val="left" w:pos="1852" w:leader="none"/>
      </w:tabs>
      <w:suppressAutoHyphens w:val="true"/>
      <w:bidi w:val="0"/>
      <w:spacing w:before="0" w:after="0"/>
      <w:ind w:left="926" w:hanging="360"/>
      <w:jc w:val="left"/>
    </w:pPr>
    <w:rPr>
      <w:rFonts w:ascii="Tahoma" w:hAnsi="Tahoma" w:eastAsia="Times New Roman" w:cs="Times New Roman"/>
      <w:color w:val="auto"/>
      <w:kern w:val="0"/>
      <w:sz w:val="20"/>
      <w:szCs w:val="20"/>
      <w:lang w:val="pl-PL" w:eastAsia="pl-PL" w:bidi="ar-SA"/>
    </w:rPr>
  </w:style>
  <w:style w:type="paragraph" w:styleId="Listawypunktowana4" w:customStyle="1">
    <w:name w:val="Lista wypunktowana 4"/>
    <w:qFormat/>
    <w:rsid w:val="0045148a"/>
    <w:pPr>
      <w:widowControl w:val="false"/>
      <w:tabs>
        <w:tab w:val="clear" w:pos="709"/>
        <w:tab w:val="left" w:pos="720" w:leader="none"/>
        <w:tab w:val="left" w:pos="2418" w:leader="none"/>
      </w:tabs>
      <w:suppressAutoHyphens w:val="true"/>
      <w:bidi w:val="0"/>
      <w:spacing w:before="0" w:after="0"/>
      <w:ind w:left="720" w:hanging="360"/>
      <w:jc w:val="left"/>
    </w:pPr>
    <w:rPr>
      <w:rFonts w:ascii="Tahoma" w:hAnsi="Tahoma" w:eastAsia="Times New Roman" w:cs="Times New Roman"/>
      <w:color w:val="auto"/>
      <w:kern w:val="0"/>
      <w:sz w:val="20"/>
      <w:szCs w:val="20"/>
      <w:lang w:val="pl-PL" w:eastAsia="pl-PL" w:bidi="ar-SA"/>
    </w:rPr>
  </w:style>
  <w:style w:type="paragraph" w:styleId="WW-Lista-kontynuacja4" w:customStyle="1">
    <w:name w:val="WW-Lista - kontynuacja 4"/>
    <w:basedOn w:val="Normal"/>
    <w:qFormat/>
    <w:rsid w:val="0045148a"/>
    <w:pPr>
      <w:widowControl w:val="false"/>
      <w:suppressAutoHyphens w:val="true"/>
      <w:spacing w:before="0" w:after="120"/>
      <w:ind w:left="1132" w:firstLine="1"/>
    </w:pPr>
    <w:rPr>
      <w:rFonts w:ascii="Tahoma" w:hAnsi="Tahoma"/>
      <w:sz w:val="20"/>
      <w:szCs w:val="20"/>
    </w:rPr>
  </w:style>
  <w:style w:type="paragraph" w:styleId="Annotationtext">
    <w:name w:val="annotation text"/>
    <w:basedOn w:val="Normal"/>
    <w:link w:val="TekstkomentarzaZnak"/>
    <w:uiPriority w:val="99"/>
    <w:semiHidden/>
    <w:qFormat/>
    <w:rsid w:val="00e2193f"/>
    <w:pPr/>
    <w:rPr>
      <w:sz w:val="20"/>
      <w:szCs w:val="20"/>
    </w:rPr>
  </w:style>
  <w:style w:type="paragraph" w:styleId="Annotationsubject">
    <w:name w:val="annotation subject"/>
    <w:basedOn w:val="Annotationtext"/>
    <w:next w:val="Annotationtext"/>
    <w:semiHidden/>
    <w:qFormat/>
    <w:rsid w:val="00e2193f"/>
    <w:pPr/>
    <w:rPr>
      <w:b/>
      <w:bCs/>
    </w:rPr>
  </w:style>
  <w:style w:type="paragraph" w:styleId="Przypisdolny">
    <w:name w:val="Footnote Text"/>
    <w:basedOn w:val="Normal"/>
    <w:semiHidden/>
    <w:rsid w:val="001a65e3"/>
    <w:pPr/>
    <w:rPr>
      <w:sz w:val="20"/>
      <w:szCs w:val="20"/>
    </w:rPr>
  </w:style>
  <w:style w:type="paragraph" w:styleId="Punktowanie" w:customStyle="1">
    <w:name w:val="punktowanie"/>
    <w:basedOn w:val="Normal"/>
    <w:qFormat/>
    <w:rsid w:val="00182c9d"/>
    <w:pPr>
      <w:numPr>
        <w:ilvl w:val="1"/>
        <w:numId w:val="35"/>
      </w:numPr>
      <w:spacing w:lineRule="auto" w:line="288" w:before="120" w:after="120"/>
    </w:pPr>
    <w:rPr>
      <w:rFonts w:ascii="Trebuchet MS" w:hAnsi="Trebuchet MS"/>
      <w:sz w:val="20"/>
    </w:rPr>
  </w:style>
  <w:style w:type="paragraph" w:styleId="Caption">
    <w:name w:val="caption"/>
    <w:basedOn w:val="Normal"/>
    <w:next w:val="Normal"/>
    <w:qFormat/>
    <w:rsid w:val="00182c9d"/>
    <w:pPr/>
    <w:rPr>
      <w:b/>
      <w:bCs/>
      <w:sz w:val="20"/>
      <w:szCs w:val="20"/>
    </w:rPr>
  </w:style>
  <w:style w:type="paragraph" w:styleId="ZnakZnak" w:customStyle="1">
    <w:name w:val="Znak Znak"/>
    <w:basedOn w:val="Normal"/>
    <w:qFormat/>
    <w:rsid w:val="008247b5"/>
    <w:pPr>
      <w:spacing w:lineRule="atLeast" w:line="360"/>
      <w:jc w:val="both"/>
    </w:pPr>
    <w:rPr>
      <w:szCs w:val="20"/>
    </w:rPr>
  </w:style>
  <w:style w:type="paragraph" w:styleId="StandardowyStandardowy1" w:customStyle="1">
    <w:name w:val="Standardowy.Standardowy1"/>
    <w:qFormat/>
    <w:rsid w:val="00d86d2b"/>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pl-PL" w:bidi="ar-SA"/>
    </w:rPr>
  </w:style>
  <w:style w:type="paragraph" w:styleId="TekstpodstawowyEHPTBodyText2F2ndrad" w:customStyle="1">
    <w:name w:val="Tekst podstawowy.EHPT.Body Text2.(F2).ändrad"/>
    <w:basedOn w:val="StandardowyStandardowy1"/>
    <w:qFormat/>
    <w:rsid w:val="00d86d2b"/>
    <w:pPr>
      <w:jc w:val="both"/>
    </w:pPr>
    <w:rPr>
      <w:lang w:val="pl-PL"/>
    </w:rPr>
  </w:style>
  <w:style w:type="paragraph" w:styleId="ListParagraph">
    <w:name w:val="List Paragraph"/>
    <w:basedOn w:val="Normal"/>
    <w:link w:val="AkapitzlistZnak"/>
    <w:uiPriority w:val="34"/>
    <w:qFormat/>
    <w:rsid w:val="00141ff8"/>
    <w:pPr>
      <w:spacing w:before="0" w:after="0"/>
      <w:ind w:left="720" w:hanging="0"/>
      <w:contextualSpacing/>
    </w:pPr>
    <w:rPr/>
  </w:style>
  <w:style w:type="paragraph" w:styleId="NoSpacing">
    <w:name w:val="No Spacing"/>
    <w:uiPriority w:val="1"/>
    <w:qFormat/>
    <w:rsid w:val="003e2a7d"/>
    <w:pPr>
      <w:widowControl/>
      <w:suppressAutoHyphens w:val="true"/>
      <w:bidi w:val="0"/>
      <w:spacing w:before="0" w:after="0"/>
      <w:jc w:val="left"/>
    </w:pPr>
    <w:rPr>
      <w:rFonts w:ascii="Calibri" w:hAnsi="Calibri" w:eastAsia="Calibri" w:cs="Times New Roman"/>
      <w:color w:val="auto"/>
      <w:kern w:val="0"/>
      <w:sz w:val="22"/>
      <w:szCs w:val="22"/>
      <w:lang w:val="pl-PL" w:eastAsia="en-US" w:bidi="ar-SA"/>
    </w:rPr>
  </w:style>
  <w:style w:type="paragraph" w:styleId="PlainText">
    <w:name w:val="Plain Text"/>
    <w:basedOn w:val="Normal"/>
    <w:link w:val="ZwykytekstZnak"/>
    <w:uiPriority w:val="99"/>
    <w:unhideWhenUsed/>
    <w:qFormat/>
    <w:rsid w:val="00e31a87"/>
    <w:pPr/>
    <w:rPr>
      <w:rFonts w:ascii="Calibri" w:hAnsi="Calibri" w:eastAsia="Calibri"/>
      <w:color w:val="1F497D"/>
      <w:sz w:val="22"/>
      <w:szCs w:val="21"/>
      <w:lang w:val="x-none" w:eastAsia="en-US"/>
    </w:rPr>
  </w:style>
  <w:style w:type="paragraph" w:styleId="ZnakZnak6" w:customStyle="1">
    <w:name w:val="Znak Znak6"/>
    <w:basedOn w:val="Normal"/>
    <w:qFormat/>
    <w:rsid w:val="004f4a53"/>
    <w:pPr>
      <w:spacing w:lineRule="auto" w:line="360"/>
      <w:jc w:val="both"/>
    </w:pPr>
    <w:rPr>
      <w:rFonts w:ascii="Verdana" w:hAnsi="Verdana"/>
      <w:sz w:val="20"/>
      <w:szCs w:val="20"/>
    </w:rPr>
  </w:style>
  <w:style w:type="paragraph" w:styleId="Revision">
    <w:name w:val="Revision"/>
    <w:uiPriority w:val="99"/>
    <w:semiHidden/>
    <w:qFormat/>
    <w:rsid w:val="00e130c0"/>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Bullet3">
    <w:name w:val="List Bullet 3"/>
    <w:basedOn w:val="Normal"/>
    <w:qFormat/>
    <w:rsid w:val="0031481c"/>
    <w:pPr>
      <w:spacing w:before="0" w:after="0"/>
      <w:ind w:left="566" w:hanging="283"/>
      <w:contextualSpacing/>
    </w:pPr>
    <w:rPr/>
  </w:style>
  <w:style w:type="paragraph" w:styleId="ParagrafNumer" w:customStyle="1">
    <w:name w:val="ParagrafNumer"/>
    <w:basedOn w:val="Normal"/>
    <w:qFormat/>
    <w:rsid w:val="0062793e"/>
    <w:pPr>
      <w:suppressAutoHyphens w:val="true"/>
      <w:spacing w:lineRule="auto" w:line="276" w:before="200" w:after="0"/>
      <w:jc w:val="center"/>
    </w:pPr>
    <w:rPr>
      <w:rFonts w:ascii="Arial" w:hAnsi="Arial" w:eastAsia="Calibri" w:cs="Arial"/>
      <w:b/>
      <w:sz w:val="22"/>
      <w:szCs w:val="22"/>
      <w:lang w:eastAsia="zh-CN"/>
    </w:rPr>
  </w:style>
  <w:style w:type="paragraph" w:styleId="ParagrafTytu" w:customStyle="1">
    <w:name w:val="ParagrafTytuł"/>
    <w:basedOn w:val="Normal"/>
    <w:qFormat/>
    <w:rsid w:val="0062793e"/>
    <w:pPr>
      <w:suppressAutoHyphens w:val="true"/>
      <w:spacing w:lineRule="auto" w:line="276" w:before="0" w:after="120"/>
      <w:jc w:val="center"/>
    </w:pPr>
    <w:rPr>
      <w:rFonts w:ascii="Arial" w:hAnsi="Arial" w:eastAsia="Calibri" w:cs="Calibri"/>
      <w:b/>
      <w:sz w:val="22"/>
      <w:szCs w:val="22"/>
      <w:lang w:eastAsia="zh-CN"/>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List39" w:customStyle="1">
    <w:name w:val="List 39"/>
    <w:qFormat/>
    <w:rsid w:val="003574dc"/>
  </w:style>
  <w:style w:type="numbering" w:styleId="WW8Num6" w:customStyle="1">
    <w:name w:val="WW8Num6"/>
    <w:qFormat/>
    <w:rsid w:val="0031481c"/>
  </w:style>
  <w:style w:type="numbering" w:styleId="WW8Num10" w:customStyle="1">
    <w:name w:val="WW8Num10"/>
    <w:qFormat/>
    <w:rsid w:val="003a4961"/>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0802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p.legalis.pl/document-view.seam?documentId=mfrxilrtgm2tsnrvgaztgltqmfyc4mzuhe2timbyg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5D15A0C2E772748B33EAC81F8D16ED7" ma:contentTypeVersion="0" ma:contentTypeDescription="Utwórz nowy dokument." ma:contentTypeScope="" ma:versionID="a1c5ffea923be0a45ad5b38256038df4">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92087-317D-49FB-8096-E4ED86E58C58}">
  <ds:schemaRefs>
    <ds:schemaRef ds:uri="http://schemas.microsoft.com/sharepoint/v3/contenttype/forms"/>
  </ds:schemaRefs>
</ds:datastoreItem>
</file>

<file path=customXml/itemProps2.xml><?xml version="1.0" encoding="utf-8"?>
<ds:datastoreItem xmlns:ds="http://schemas.openxmlformats.org/officeDocument/2006/customXml" ds:itemID="{E8F4258E-DF17-4E74-B380-F2B51F69F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CDD39-3000-48B2-8B4B-6B20E45C73E5}">
  <ds:schemaRefs>
    <ds:schemaRef ds:uri="http://schemas.openxmlformats.org/officeDocument/2006/bibliography"/>
  </ds:schemaRefs>
</ds:datastoreItem>
</file>

<file path=customXml/itemProps4.xml><?xml version="1.0" encoding="utf-8"?>
<ds:datastoreItem xmlns:ds="http://schemas.openxmlformats.org/officeDocument/2006/customXml" ds:itemID="{53501A5D-B647-448E-AADD-8EA393AF5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LibreOffice/7.5.1.2$Windows_X86_64 LibreOffice_project/fcbaee479e84c6cd81291587d2ee68cba099e129</Application>
  <AppVersion>15.0000</AppVersion>
  <Pages>28</Pages>
  <Words>9507</Words>
  <Characters>66659</Characters>
  <CharactersWithSpaces>75378</CharactersWithSpaces>
  <Paragraphs>618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2023-04-11T10:17:00Z</dcterms:created>
  <dc:creator/>
  <dc:description/>
  <dc:language>pl-PL</dc:language>
  <cp:lastModifiedBy/>
  <dcterms:modified xsi:type="dcterms:W3CDTF">2023-04-25T09:52:32Z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